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714E" w14:textId="5894F27D" w:rsidR="007B2D06" w:rsidRPr="007B2D06" w:rsidRDefault="007B2D06" w:rsidP="007B2D06">
      <w:pPr>
        <w:pStyle w:val="Ttulo1"/>
      </w:pPr>
      <w:bookmarkStart w:id="0" w:name="_GoBack"/>
      <w:r w:rsidRPr="007B2D06">
        <w:t xml:space="preserve">Sobre Atos 13.48, </w:t>
      </w:r>
      <w:r w:rsidRPr="007B2D06">
        <w:rPr>
          <w:vertAlign w:val="superscript"/>
        </w:rPr>
        <w:t>[Creram ― Todos Quantos Estavam Tendo A Si Mesmos Disposto- Em- Ordem]</w:t>
      </w:r>
    </w:p>
    <w:bookmarkEnd w:id="0"/>
    <w:p w14:paraId="38941D0D" w14:textId="77777777" w:rsidR="007B2D06" w:rsidRDefault="007B2D06" w:rsidP="007B2D06">
      <w:pPr>
        <w:spacing w:line="240" w:lineRule="auto"/>
        <w:rPr>
          <w:rFonts w:ascii="Tahoma" w:eastAsia="Times New Roman" w:hAnsi="Tahoma" w:cs="Tahoma"/>
          <w:b/>
          <w:bCs/>
          <w:color w:val="000000"/>
          <w:spacing w:val="0"/>
          <w:w w:val="100"/>
          <w:kern w:val="36"/>
          <w:sz w:val="38"/>
          <w:szCs w:val="38"/>
          <w:lang w:eastAsia="pt-BR"/>
        </w:rPr>
      </w:pPr>
    </w:p>
    <w:p w14:paraId="3FF7A077" w14:textId="652787DD" w:rsidR="007B2D06" w:rsidRDefault="007B2D06" w:rsidP="007B2D06">
      <w:pPr>
        <w:spacing w:line="240" w:lineRule="auto"/>
        <w:rPr>
          <w:rFonts w:ascii="Tahoma" w:eastAsia="Times New Roman" w:hAnsi="Tahoma" w:cs="Tahoma"/>
          <w:b/>
          <w:bCs/>
          <w:color w:val="000000"/>
          <w:spacing w:val="0"/>
          <w:w w:val="100"/>
          <w:kern w:val="36"/>
          <w:sz w:val="38"/>
          <w:szCs w:val="38"/>
          <w:lang w:eastAsia="pt-BR"/>
        </w:rPr>
      </w:pPr>
      <w:r w:rsidRPr="007B2D06">
        <w:rPr>
          <w:rFonts w:ascii="Tahoma" w:eastAsia="Times New Roman" w:hAnsi="Tahoma" w:cs="Tahoma"/>
          <w:b/>
          <w:bCs/>
          <w:color w:val="000000"/>
          <w:spacing w:val="0"/>
          <w:w w:val="100"/>
          <w:kern w:val="36"/>
          <w:sz w:val="38"/>
          <w:szCs w:val="38"/>
          <w:lang w:eastAsia="pt-BR"/>
        </w:rPr>
        <w:t xml:space="preserve">por Thiago </w:t>
      </w:r>
      <w:proofErr w:type="spellStart"/>
      <w:r w:rsidRPr="007B2D06">
        <w:rPr>
          <w:rFonts w:ascii="Tahoma" w:eastAsia="Times New Roman" w:hAnsi="Tahoma" w:cs="Tahoma"/>
          <w:b/>
          <w:bCs/>
          <w:color w:val="000000"/>
          <w:spacing w:val="0"/>
          <w:w w:val="100"/>
          <w:kern w:val="36"/>
          <w:sz w:val="38"/>
          <w:szCs w:val="38"/>
          <w:lang w:eastAsia="pt-BR"/>
        </w:rPr>
        <w:t>Titillo</w:t>
      </w:r>
      <w:proofErr w:type="spellEnd"/>
    </w:p>
    <w:p w14:paraId="092C8685" w14:textId="77777777" w:rsidR="007B2D06" w:rsidRDefault="007B2D06" w:rsidP="007B2D06">
      <w:pPr>
        <w:spacing w:line="240" w:lineRule="auto"/>
        <w:rPr>
          <w:rFonts w:ascii="Tahoma" w:eastAsia="Times New Roman" w:hAnsi="Tahoma" w:cs="Tahoma"/>
          <w:color w:val="000000"/>
          <w:spacing w:val="0"/>
          <w:w w:val="100"/>
          <w:sz w:val="19"/>
          <w:szCs w:val="19"/>
          <w:lang w:eastAsia="pt-BR"/>
        </w:rPr>
      </w:pPr>
    </w:p>
    <w:p w14:paraId="3544F2FC" w14:textId="77777777" w:rsidR="007B2D06" w:rsidRDefault="007B2D06" w:rsidP="007B2D06">
      <w:pPr>
        <w:autoSpaceDE w:val="0"/>
        <w:autoSpaceDN w:val="0"/>
        <w:adjustRightInd w:val="0"/>
        <w:spacing w:before="30" w:line="240" w:lineRule="auto"/>
        <w:ind w:right="45"/>
        <w:rPr>
          <w:rFonts w:ascii="Segoe UI" w:hAnsi="Segoe UI" w:cs="Segoe UI"/>
          <w:b/>
          <w:bCs/>
          <w:color w:val="417CBE"/>
          <w:sz w:val="20"/>
          <w:szCs w:val="20"/>
          <w:lang w:val="x-none"/>
        </w:rPr>
      </w:pPr>
      <w:r>
        <w:rPr>
          <w:rFonts w:ascii="Tahoma" w:eastAsia="Times New Roman" w:hAnsi="Tahoma" w:cs="Tahoma"/>
          <w:color w:val="000000"/>
          <w:spacing w:val="0"/>
          <w:w w:val="100"/>
          <w:sz w:val="19"/>
          <w:szCs w:val="19"/>
          <w:lang w:eastAsia="pt-BR"/>
        </w:rPr>
        <w:t>[Colado por Hélio, da LTT:</w:t>
      </w:r>
      <w:r>
        <w:rPr>
          <w:rFonts w:ascii="Tahoma" w:eastAsia="Times New Roman" w:hAnsi="Tahoma" w:cs="Tahoma"/>
          <w:color w:val="000000"/>
          <w:spacing w:val="0"/>
          <w:w w:val="100"/>
          <w:sz w:val="19"/>
          <w:szCs w:val="19"/>
          <w:lang w:eastAsia="pt-BR"/>
        </w:rPr>
        <w:br/>
      </w:r>
      <w:r w:rsidRPr="007B2D06">
        <w:rPr>
          <w:rFonts w:ascii="Segoe UI" w:hAnsi="Segoe UI" w:cs="Segoe UI"/>
          <w:b/>
          <w:bCs/>
          <w:color w:val="417CBE"/>
          <w:lang w:val="x-none"/>
        </w:rPr>
        <w:t xml:space="preserve">48) </w:t>
      </w:r>
      <w:r w:rsidRPr="007B2D06">
        <w:rPr>
          <w:rFonts w:ascii="Tahoma" w:hAnsi="Tahoma" w:cs="Tahoma"/>
          <w:color w:val="0000FF"/>
          <w:sz w:val="36"/>
          <w:szCs w:val="36"/>
          <w:lang w:val="x-none"/>
        </w:rPr>
        <w:t xml:space="preserve">E, ouvindo </w:t>
      </w:r>
      <w:r w:rsidRPr="007B2D06">
        <w:rPr>
          <w:rFonts w:ascii="Tahoma" w:hAnsi="Tahoma" w:cs="Tahoma"/>
          <w:i/>
          <w:iCs/>
          <w:color w:val="808080"/>
          <w:sz w:val="36"/>
          <w:szCs w:val="36"/>
          <w:lang w:val="x-none"/>
        </w:rPr>
        <w:t>isto</w:t>
      </w:r>
      <w:r w:rsidRPr="007B2D06">
        <w:rPr>
          <w:rFonts w:ascii="Tahoma" w:hAnsi="Tahoma" w:cs="Tahoma"/>
          <w:color w:val="0000FF"/>
          <w:sz w:val="36"/>
          <w:szCs w:val="36"/>
          <w:lang w:val="x-none"/>
        </w:rPr>
        <w:t>, os gentios alegravam-se, e glorificavam a Palavra de o Senhor (Jesus). E creram ― todos quantos estavam tendo a si mesmos disposto- em- ordem para dentro d</w:t>
      </w:r>
      <w:r w:rsidRPr="007B2D06">
        <w:rPr>
          <w:rFonts w:ascii="Tahoma" w:hAnsi="Tahoma" w:cs="Tahoma"/>
          <w:i/>
          <w:iCs/>
          <w:color w:val="808080"/>
          <w:sz w:val="36"/>
          <w:szCs w:val="36"/>
          <w:lang w:val="x-none"/>
        </w:rPr>
        <w:t>a</w:t>
      </w:r>
      <w:r w:rsidRPr="007B2D06">
        <w:rPr>
          <w:rFonts w:ascii="Tahoma" w:hAnsi="Tahoma" w:cs="Tahoma"/>
          <w:color w:val="0000FF"/>
          <w:sz w:val="36"/>
          <w:szCs w:val="36"/>
          <w:lang w:val="x-none"/>
        </w:rPr>
        <w:t xml:space="preserve"> vida que- dura- para- sempre.</w:t>
      </w:r>
    </w:p>
    <w:p w14:paraId="2C181A82" w14:textId="68478226" w:rsidR="007B2D06" w:rsidRPr="007B2D06" w:rsidRDefault="007B2D06" w:rsidP="007B2D06">
      <w:pPr>
        <w:spacing w:line="240" w:lineRule="auto"/>
        <w:rPr>
          <w:rFonts w:ascii="Tahoma" w:eastAsia="Times New Roman" w:hAnsi="Tahoma" w:cs="Tahoma"/>
          <w:color w:val="000000"/>
          <w:spacing w:val="0"/>
          <w:w w:val="100"/>
          <w:sz w:val="19"/>
          <w:szCs w:val="19"/>
          <w:lang w:eastAsia="pt-BR"/>
        </w:rPr>
      </w:pPr>
      <w:r>
        <w:rPr>
          <w:rFonts w:ascii="Tahoma" w:eastAsia="Times New Roman" w:hAnsi="Tahoma" w:cs="Tahoma"/>
          <w:color w:val="000000"/>
          <w:spacing w:val="0"/>
          <w:w w:val="100"/>
          <w:sz w:val="19"/>
          <w:szCs w:val="19"/>
          <w:lang w:eastAsia="pt-BR"/>
        </w:rPr>
        <w:t>]</w:t>
      </w:r>
      <w:r>
        <w:rPr>
          <w:rFonts w:ascii="Tahoma" w:eastAsia="Times New Roman" w:hAnsi="Tahoma" w:cs="Tahoma"/>
          <w:color w:val="000000"/>
          <w:spacing w:val="0"/>
          <w:w w:val="100"/>
          <w:sz w:val="19"/>
          <w:szCs w:val="19"/>
          <w:lang w:eastAsia="pt-BR"/>
        </w:rPr>
        <w:br/>
      </w:r>
      <w:r>
        <w:rPr>
          <w:rFonts w:ascii="Tahoma" w:eastAsia="Times New Roman" w:hAnsi="Tahoma" w:cs="Tahoma"/>
          <w:color w:val="000000"/>
          <w:spacing w:val="0"/>
          <w:w w:val="100"/>
          <w:sz w:val="19"/>
          <w:szCs w:val="19"/>
          <w:lang w:eastAsia="pt-BR"/>
        </w:rPr>
        <w:br/>
      </w:r>
      <w:r>
        <w:rPr>
          <w:rFonts w:ascii="Tahoma" w:eastAsia="Times New Roman" w:hAnsi="Tahoma" w:cs="Tahoma"/>
          <w:color w:val="000000"/>
          <w:spacing w:val="0"/>
          <w:w w:val="100"/>
          <w:sz w:val="19"/>
          <w:szCs w:val="19"/>
          <w:lang w:eastAsia="pt-BR"/>
        </w:rPr>
        <w:br/>
      </w:r>
    </w:p>
    <w:p w14:paraId="19D3DAFC" w14:textId="2BA59F45"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A quarta passagem se encontra no disputado versículo de Atos 13.48: “Os gentios, ouvindo isto, regozijavam-se e glorificavam a palavra do Senhor, e creram todos os que haviam sido destinados para a vida eterna”</w:t>
      </w:r>
      <w:r>
        <w:rPr>
          <w:rFonts w:ascii="Tahoma" w:eastAsia="Times New Roman" w:hAnsi="Tahoma" w:cs="Tahoma"/>
          <w:color w:val="000000"/>
          <w:spacing w:val="0"/>
          <w:w w:val="100"/>
          <w:sz w:val="24"/>
          <w:szCs w:val="24"/>
          <w:lang w:eastAsia="pt-BR"/>
        </w:rPr>
        <w:t xml:space="preserve"> [ARA - Almeida Revista e Atualizada]</w:t>
      </w:r>
      <w:r w:rsidRPr="007B2D06">
        <w:rPr>
          <w:rFonts w:ascii="Tahoma" w:eastAsia="Times New Roman" w:hAnsi="Tahoma" w:cs="Tahoma"/>
          <w:color w:val="000000"/>
          <w:spacing w:val="0"/>
          <w:w w:val="100"/>
          <w:sz w:val="24"/>
          <w:szCs w:val="24"/>
          <w:lang w:eastAsia="pt-BR"/>
        </w:rPr>
        <w:t>. Arthur Pink afirma sobre este versículo:</w:t>
      </w:r>
    </w:p>
    <w:p w14:paraId="6F84C2A5" w14:textId="77777777" w:rsidR="007B2D06" w:rsidRPr="007B2D06" w:rsidRDefault="007B2D06" w:rsidP="007B2D06">
      <w:pPr>
        <w:spacing w:after="105" w:line="384" w:lineRule="atLeast"/>
        <w:ind w:left="709"/>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Todas as artimanhas da engenhosidade humana têm sido empregadas para obscurecer o significado deste versículo e para explicar de outro modo o sentido óbvio de suas palavras; mas todas as tentativas têm sido em vão; [...]. Aprendemos aqui quatro coisas: Primeira, que o ato de crer é a consequência e não a causa do decreto divino. Segunda, que somente um número limitado foi destinado ‘para a vida eterna’; porque se todos os homens, sem exceção, fossem assim destinados por Deus, então as palavras ‘todos os que’ formariam uma qualificação sem qualquer significado. Terceira, que esse ‘destino’ pronunciado por Deus não se refere a meros privilégios externos, mas à ‘vida eterna’ não a algum serviço, mas à salvação. Quarta, que ‘todos os que’ – e nenhum a menos – são destinados por Deus para a vida eterna certamente crerão.</w:t>
      </w:r>
      <w:hyperlink r:id="rId4" w:anchor="_ftn1" w:tgtFrame="_blank" w:history="1">
        <w:r w:rsidRPr="007B2D06">
          <w:rPr>
            <w:rFonts w:ascii="Tahoma" w:eastAsia="Times New Roman" w:hAnsi="Tahoma" w:cs="Tahoma"/>
            <w:color w:val="000000"/>
            <w:spacing w:val="0"/>
            <w:w w:val="100"/>
            <w:sz w:val="24"/>
            <w:szCs w:val="24"/>
            <w:u w:val="single"/>
            <w:lang w:eastAsia="pt-BR"/>
          </w:rPr>
          <w:t>[1]</w:t>
        </w:r>
      </w:hyperlink>
    </w:p>
    <w:p w14:paraId="532C309F"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A interpretação dessa passagem depende do significado atribuído à palavra </w:t>
      </w:r>
      <w:proofErr w:type="spellStart"/>
      <w:r w:rsidRPr="007B2D06">
        <w:rPr>
          <w:rFonts w:ascii="Tahoma" w:eastAsia="Times New Roman" w:hAnsi="Tahoma" w:cs="Tahoma"/>
          <w:i/>
          <w:iCs/>
          <w:color w:val="000000"/>
          <w:spacing w:val="0"/>
          <w:w w:val="100"/>
          <w:sz w:val="24"/>
          <w:szCs w:val="24"/>
          <w:lang w:eastAsia="pt-BR"/>
        </w:rPr>
        <w:t>tetagmenoi</w:t>
      </w:r>
      <w:proofErr w:type="spellEnd"/>
      <w:r w:rsidRPr="007B2D06">
        <w:rPr>
          <w:rFonts w:ascii="Tahoma" w:eastAsia="Times New Roman" w:hAnsi="Tahoma" w:cs="Tahoma"/>
          <w:color w:val="000000"/>
          <w:spacing w:val="0"/>
          <w:w w:val="100"/>
          <w:sz w:val="24"/>
          <w:szCs w:val="24"/>
          <w:lang w:eastAsia="pt-BR"/>
        </w:rPr>
        <w:t>, particípio passivo do verbo </w:t>
      </w:r>
      <w:proofErr w:type="spellStart"/>
      <w:r w:rsidRPr="007B2D06">
        <w:rPr>
          <w:rFonts w:ascii="Tahoma" w:eastAsia="Times New Roman" w:hAnsi="Tahoma" w:cs="Tahoma"/>
          <w:i/>
          <w:iCs/>
          <w:color w:val="000000"/>
          <w:spacing w:val="0"/>
          <w:w w:val="100"/>
          <w:sz w:val="24"/>
          <w:szCs w:val="24"/>
          <w:lang w:eastAsia="pt-BR"/>
        </w:rPr>
        <w:t>tassõ</w:t>
      </w:r>
      <w:proofErr w:type="spellEnd"/>
      <w:r w:rsidRPr="007B2D06">
        <w:rPr>
          <w:rFonts w:ascii="Tahoma" w:eastAsia="Times New Roman" w:hAnsi="Tahoma" w:cs="Tahoma"/>
          <w:color w:val="000000"/>
          <w:spacing w:val="0"/>
          <w:w w:val="100"/>
          <w:sz w:val="24"/>
          <w:szCs w:val="24"/>
          <w:lang w:eastAsia="pt-BR"/>
        </w:rPr>
        <w:t>. O verbo </w:t>
      </w:r>
      <w:proofErr w:type="spellStart"/>
      <w:r w:rsidRPr="007B2D06">
        <w:rPr>
          <w:rFonts w:ascii="Tahoma" w:eastAsia="Times New Roman" w:hAnsi="Tahoma" w:cs="Tahoma"/>
          <w:i/>
          <w:iCs/>
          <w:color w:val="000000"/>
          <w:spacing w:val="0"/>
          <w:w w:val="100"/>
          <w:sz w:val="24"/>
          <w:szCs w:val="24"/>
          <w:lang w:eastAsia="pt-BR"/>
        </w:rPr>
        <w:t>tassõ</w:t>
      </w:r>
      <w:proofErr w:type="spellEnd"/>
      <w:r w:rsidRPr="007B2D06">
        <w:rPr>
          <w:rFonts w:ascii="Tahoma" w:eastAsia="Times New Roman" w:hAnsi="Tahoma" w:cs="Tahoma"/>
          <w:color w:val="000000"/>
          <w:spacing w:val="0"/>
          <w:w w:val="100"/>
          <w:sz w:val="24"/>
          <w:szCs w:val="24"/>
          <w:lang w:eastAsia="pt-BR"/>
        </w:rPr>
        <w:t> tem um campo semântico amplo. Em seu verbete, no </w:t>
      </w:r>
      <w:r w:rsidRPr="007B2D06">
        <w:rPr>
          <w:rFonts w:ascii="Tahoma" w:eastAsia="Times New Roman" w:hAnsi="Tahoma" w:cs="Tahoma"/>
          <w:i/>
          <w:iCs/>
          <w:color w:val="000000"/>
          <w:spacing w:val="0"/>
          <w:w w:val="100"/>
          <w:sz w:val="24"/>
          <w:szCs w:val="24"/>
          <w:lang w:eastAsia="pt-BR"/>
        </w:rPr>
        <w:t>Dicionário Teológico do Novo Testamento</w:t>
      </w:r>
      <w:r w:rsidRPr="007B2D06">
        <w:rPr>
          <w:rFonts w:ascii="Tahoma" w:eastAsia="Times New Roman" w:hAnsi="Tahoma" w:cs="Tahoma"/>
          <w:color w:val="000000"/>
          <w:spacing w:val="0"/>
          <w:w w:val="100"/>
          <w:sz w:val="24"/>
          <w:szCs w:val="24"/>
          <w:lang w:eastAsia="pt-BR"/>
        </w:rPr>
        <w:t xml:space="preserve">, </w:t>
      </w:r>
      <w:proofErr w:type="spellStart"/>
      <w:r w:rsidRPr="007B2D06">
        <w:rPr>
          <w:rFonts w:ascii="Tahoma" w:eastAsia="Times New Roman" w:hAnsi="Tahoma" w:cs="Tahoma"/>
          <w:color w:val="000000"/>
          <w:spacing w:val="0"/>
          <w:w w:val="100"/>
          <w:sz w:val="24"/>
          <w:szCs w:val="24"/>
          <w:lang w:eastAsia="pt-BR"/>
        </w:rPr>
        <w:t>Delling</w:t>
      </w:r>
      <w:proofErr w:type="spellEnd"/>
      <w:r w:rsidRPr="007B2D06">
        <w:rPr>
          <w:rFonts w:ascii="Tahoma" w:eastAsia="Times New Roman" w:hAnsi="Tahoma" w:cs="Tahoma"/>
          <w:color w:val="000000"/>
          <w:spacing w:val="0"/>
          <w:w w:val="100"/>
          <w:sz w:val="24"/>
          <w:szCs w:val="24"/>
          <w:lang w:eastAsia="pt-BR"/>
        </w:rPr>
        <w:t xml:space="preserve"> diz: “Essa palavra significa ‘designar’, ‘ordenar’, com nuanças tais como ‘organizar’, ‘determinar’, ‘pôr no lugar’, ‘estabelecer’ e, na voz média, ‘fixar por si mesmo’”.</w:t>
      </w:r>
      <w:hyperlink r:id="rId5" w:anchor="_ftn2" w:tgtFrame="_blank" w:history="1">
        <w:r w:rsidRPr="007B2D06">
          <w:rPr>
            <w:rFonts w:ascii="Tahoma" w:eastAsia="Times New Roman" w:hAnsi="Tahoma" w:cs="Tahoma"/>
            <w:color w:val="000000"/>
            <w:spacing w:val="0"/>
            <w:w w:val="100"/>
            <w:sz w:val="24"/>
            <w:szCs w:val="24"/>
            <w:u w:val="single"/>
            <w:lang w:eastAsia="pt-BR"/>
          </w:rPr>
          <w:t>[2]</w:t>
        </w:r>
      </w:hyperlink>
    </w:p>
    <w:p w14:paraId="61522731"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Se o verbo </w:t>
      </w:r>
      <w:proofErr w:type="spellStart"/>
      <w:r w:rsidRPr="007B2D06">
        <w:rPr>
          <w:rFonts w:ascii="Tahoma" w:eastAsia="Times New Roman" w:hAnsi="Tahoma" w:cs="Tahoma"/>
          <w:i/>
          <w:iCs/>
          <w:color w:val="000000"/>
          <w:spacing w:val="0"/>
          <w:w w:val="100"/>
          <w:sz w:val="24"/>
          <w:szCs w:val="24"/>
          <w:lang w:eastAsia="pt-BR"/>
        </w:rPr>
        <w:t>tassõ</w:t>
      </w:r>
      <w:proofErr w:type="spellEnd"/>
      <w:r w:rsidRPr="007B2D06">
        <w:rPr>
          <w:rFonts w:ascii="Tahoma" w:eastAsia="Times New Roman" w:hAnsi="Tahoma" w:cs="Tahoma"/>
          <w:color w:val="000000"/>
          <w:spacing w:val="0"/>
          <w:w w:val="100"/>
          <w:sz w:val="24"/>
          <w:szCs w:val="24"/>
          <w:lang w:eastAsia="pt-BR"/>
        </w:rPr>
        <w:t> for considerado voz média, deve ser entendido como “fixar por si mesmo”, “dispor-se”, “ordenar-se”, como Rotherham traduz: “</w:t>
      </w:r>
      <w:r w:rsidRPr="007B2D06">
        <w:rPr>
          <w:rFonts w:ascii="Tahoma" w:eastAsia="Times New Roman" w:hAnsi="Tahoma" w:cs="Tahoma"/>
          <w:b/>
          <w:bCs/>
          <w:color w:val="000000"/>
          <w:spacing w:val="0"/>
          <w:w w:val="100"/>
          <w:sz w:val="24"/>
          <w:szCs w:val="24"/>
          <w:lang w:eastAsia="pt-BR"/>
        </w:rPr>
        <w:t>E aqueles das nações, ao ouvir isso, começaram a se regozijar e a glorificar a Deus, e eles creram – tantos quantos se haviam tornado dispostos para a vida duradoura”</w:t>
      </w:r>
      <w:r w:rsidRPr="007B2D06">
        <w:rPr>
          <w:rFonts w:ascii="Tahoma" w:eastAsia="Times New Roman" w:hAnsi="Tahoma" w:cs="Tahoma"/>
          <w:color w:val="000000"/>
          <w:spacing w:val="0"/>
          <w:w w:val="100"/>
          <w:sz w:val="24"/>
          <w:szCs w:val="24"/>
          <w:lang w:eastAsia="pt-BR"/>
        </w:rPr>
        <w:t>.</w:t>
      </w:r>
      <w:hyperlink r:id="rId6" w:anchor="_ftn3" w:tgtFrame="_blank" w:history="1">
        <w:r w:rsidRPr="007B2D06">
          <w:rPr>
            <w:rFonts w:ascii="Tahoma" w:eastAsia="Times New Roman" w:hAnsi="Tahoma" w:cs="Tahoma"/>
            <w:b/>
            <w:bCs/>
            <w:color w:val="000000"/>
            <w:spacing w:val="0"/>
            <w:w w:val="100"/>
            <w:sz w:val="24"/>
            <w:szCs w:val="24"/>
            <w:u w:val="single"/>
            <w:lang w:eastAsia="pt-BR"/>
          </w:rPr>
          <w:t>[3]</w:t>
        </w:r>
      </w:hyperlink>
      <w:r w:rsidRPr="007B2D06">
        <w:rPr>
          <w:rFonts w:ascii="Tahoma" w:eastAsia="Times New Roman" w:hAnsi="Tahoma" w:cs="Tahoma"/>
          <w:color w:val="000000"/>
          <w:spacing w:val="0"/>
          <w:w w:val="100"/>
          <w:sz w:val="24"/>
          <w:szCs w:val="24"/>
          <w:lang w:eastAsia="pt-BR"/>
        </w:rPr>
        <w:t> A expressão</w:t>
      </w:r>
      <w:r w:rsidRPr="007B2D06">
        <w:rPr>
          <w:rFonts w:ascii="Tahoma" w:eastAsia="Times New Roman" w:hAnsi="Tahoma" w:cs="Tahoma"/>
          <w:b/>
          <w:bCs/>
          <w:color w:val="000000"/>
          <w:spacing w:val="0"/>
          <w:w w:val="100"/>
          <w:sz w:val="24"/>
          <w:szCs w:val="24"/>
          <w:lang w:eastAsia="pt-BR"/>
        </w:rPr>
        <w:t xml:space="preserve"> “se haviam tornado dispostos” </w:t>
      </w:r>
      <w:r w:rsidRPr="007B2D06">
        <w:rPr>
          <w:rFonts w:ascii="Tahoma" w:eastAsia="Times New Roman" w:hAnsi="Tahoma" w:cs="Tahoma"/>
          <w:color w:val="000000"/>
          <w:spacing w:val="0"/>
          <w:w w:val="100"/>
          <w:sz w:val="24"/>
          <w:szCs w:val="24"/>
          <w:lang w:eastAsia="pt-BR"/>
        </w:rPr>
        <w:t>exclui uma interferência externa sobre a vontade humana. O fato da palavra ser absoluta, sem indicar quaisquer agentes em particular, favorece essa tradução.</w:t>
      </w:r>
    </w:p>
    <w:p w14:paraId="27B65E11"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 xml:space="preserve">Ferreira e </w:t>
      </w:r>
      <w:proofErr w:type="spellStart"/>
      <w:r w:rsidRPr="007B2D06">
        <w:rPr>
          <w:rFonts w:ascii="Tahoma" w:eastAsia="Times New Roman" w:hAnsi="Tahoma" w:cs="Tahoma"/>
          <w:color w:val="000000"/>
          <w:spacing w:val="0"/>
          <w:w w:val="100"/>
          <w:sz w:val="24"/>
          <w:szCs w:val="24"/>
          <w:lang w:eastAsia="pt-BR"/>
        </w:rPr>
        <w:t>Myatt</w:t>
      </w:r>
      <w:proofErr w:type="spellEnd"/>
      <w:r w:rsidRPr="007B2D06">
        <w:rPr>
          <w:rFonts w:ascii="Tahoma" w:eastAsia="Times New Roman" w:hAnsi="Tahoma" w:cs="Tahoma"/>
          <w:color w:val="000000"/>
          <w:spacing w:val="0"/>
          <w:w w:val="100"/>
          <w:sz w:val="24"/>
          <w:szCs w:val="24"/>
          <w:lang w:eastAsia="pt-BR"/>
        </w:rPr>
        <w:t xml:space="preserve"> tentam descartar essa possibilidade: “O argumento de alguns arminianos de que em </w:t>
      </w:r>
      <w:proofErr w:type="spellStart"/>
      <w:r w:rsidRPr="007B2D06">
        <w:rPr>
          <w:rFonts w:ascii="Tahoma" w:eastAsia="Times New Roman" w:hAnsi="Tahoma" w:cs="Tahoma"/>
          <w:b/>
          <w:bCs/>
          <w:color w:val="000000"/>
          <w:spacing w:val="0"/>
          <w:w w:val="100"/>
          <w:sz w:val="24"/>
          <w:szCs w:val="24"/>
          <w:lang w:eastAsia="pt-BR"/>
        </w:rPr>
        <w:t>τετ</w:t>
      </w:r>
      <w:proofErr w:type="spellEnd"/>
      <w:r w:rsidRPr="007B2D06">
        <w:rPr>
          <w:rFonts w:ascii="Tahoma" w:eastAsia="Times New Roman" w:hAnsi="Tahoma" w:cs="Tahoma"/>
          <w:b/>
          <w:bCs/>
          <w:color w:val="000000"/>
          <w:spacing w:val="0"/>
          <w:w w:val="100"/>
          <w:sz w:val="24"/>
          <w:szCs w:val="24"/>
          <w:lang w:eastAsia="pt-BR"/>
        </w:rPr>
        <w:t>αγμένοι (</w:t>
      </w:r>
      <w:proofErr w:type="spellStart"/>
      <w:r w:rsidRPr="007B2D06">
        <w:rPr>
          <w:rFonts w:ascii="Tahoma" w:eastAsia="Times New Roman" w:hAnsi="Tahoma" w:cs="Tahoma"/>
          <w:b/>
          <w:bCs/>
          <w:i/>
          <w:iCs/>
          <w:color w:val="000000"/>
          <w:spacing w:val="0"/>
          <w:w w:val="100"/>
          <w:sz w:val="24"/>
          <w:szCs w:val="24"/>
          <w:lang w:eastAsia="pt-BR"/>
        </w:rPr>
        <w:t>tetagmenoi</w:t>
      </w:r>
      <w:proofErr w:type="spellEnd"/>
      <w:r w:rsidRPr="007B2D06">
        <w:rPr>
          <w:rFonts w:ascii="Tahoma" w:eastAsia="Times New Roman" w:hAnsi="Tahoma" w:cs="Tahoma"/>
          <w:b/>
          <w:bCs/>
          <w:color w:val="000000"/>
          <w:spacing w:val="0"/>
          <w:w w:val="100"/>
          <w:sz w:val="24"/>
          <w:szCs w:val="24"/>
          <w:lang w:eastAsia="pt-BR"/>
        </w:rPr>
        <w:t xml:space="preserve">) </w:t>
      </w:r>
      <w:r w:rsidRPr="007B2D06">
        <w:rPr>
          <w:rFonts w:ascii="Tahoma" w:eastAsia="Times New Roman" w:hAnsi="Tahoma" w:cs="Tahoma"/>
          <w:color w:val="000000"/>
          <w:spacing w:val="0"/>
          <w:w w:val="100"/>
          <w:sz w:val="24"/>
          <w:szCs w:val="24"/>
          <w:lang w:eastAsia="pt-BR"/>
        </w:rPr>
        <w:t>o particípio passivo do verbo</w:t>
      </w:r>
      <w:r w:rsidRPr="007B2D06">
        <w:rPr>
          <w:rFonts w:ascii="Tahoma" w:eastAsia="Times New Roman" w:hAnsi="Tahoma" w:cs="Tahoma"/>
          <w:b/>
          <w:bCs/>
          <w:color w:val="000000"/>
          <w:spacing w:val="0"/>
          <w:w w:val="100"/>
          <w:sz w:val="24"/>
          <w:szCs w:val="24"/>
          <w:lang w:eastAsia="pt-BR"/>
        </w:rPr>
        <w:t xml:space="preserve"> </w:t>
      </w:r>
      <w:proofErr w:type="spellStart"/>
      <w:r w:rsidRPr="007B2D06">
        <w:rPr>
          <w:rFonts w:ascii="Tahoma" w:eastAsia="Times New Roman" w:hAnsi="Tahoma" w:cs="Tahoma"/>
          <w:b/>
          <w:bCs/>
          <w:color w:val="000000"/>
          <w:spacing w:val="0"/>
          <w:w w:val="100"/>
          <w:sz w:val="24"/>
          <w:szCs w:val="24"/>
          <w:lang w:eastAsia="pt-BR"/>
        </w:rPr>
        <w:t>τάσσω</w:t>
      </w:r>
      <w:proofErr w:type="spellEnd"/>
      <w:r w:rsidRPr="007B2D06">
        <w:rPr>
          <w:rFonts w:ascii="Tahoma" w:eastAsia="Times New Roman" w:hAnsi="Tahoma" w:cs="Tahoma"/>
          <w:b/>
          <w:bCs/>
          <w:color w:val="000000"/>
          <w:spacing w:val="0"/>
          <w:w w:val="100"/>
          <w:sz w:val="24"/>
          <w:szCs w:val="24"/>
          <w:lang w:eastAsia="pt-BR"/>
        </w:rPr>
        <w:t xml:space="preserve"> (</w:t>
      </w:r>
      <w:proofErr w:type="spellStart"/>
      <w:r w:rsidRPr="007B2D06">
        <w:rPr>
          <w:rFonts w:ascii="Tahoma" w:eastAsia="Times New Roman" w:hAnsi="Tahoma" w:cs="Tahoma"/>
          <w:b/>
          <w:bCs/>
          <w:i/>
          <w:iCs/>
          <w:color w:val="000000"/>
          <w:spacing w:val="0"/>
          <w:w w:val="100"/>
          <w:sz w:val="24"/>
          <w:szCs w:val="24"/>
          <w:lang w:eastAsia="pt-BR"/>
        </w:rPr>
        <w:t>tassõ</w:t>
      </w:r>
      <w:proofErr w:type="spellEnd"/>
      <w:r w:rsidRPr="007B2D06">
        <w:rPr>
          <w:rFonts w:ascii="Tahoma" w:eastAsia="Times New Roman" w:hAnsi="Tahoma" w:cs="Tahoma"/>
          <w:b/>
          <w:bCs/>
          <w:color w:val="000000"/>
          <w:spacing w:val="0"/>
          <w:w w:val="100"/>
          <w:sz w:val="24"/>
          <w:szCs w:val="24"/>
          <w:lang w:eastAsia="pt-BR"/>
        </w:rPr>
        <w:t> [designar])</w:t>
      </w:r>
      <w:r w:rsidRPr="007B2D06">
        <w:rPr>
          <w:rFonts w:ascii="Tahoma" w:eastAsia="Times New Roman" w:hAnsi="Tahoma" w:cs="Tahoma"/>
          <w:color w:val="000000"/>
          <w:spacing w:val="0"/>
          <w:w w:val="100"/>
          <w:sz w:val="24"/>
          <w:szCs w:val="24"/>
          <w:lang w:eastAsia="pt-BR"/>
        </w:rPr>
        <w:t xml:space="preserve"> deve ser voz média (“os que se designaram”) não é coerente com o contexto e também seria redundante”.</w:t>
      </w:r>
      <w:hyperlink r:id="rId7" w:anchor="_ftn4" w:tgtFrame="_blank" w:history="1">
        <w:r w:rsidRPr="007B2D06">
          <w:rPr>
            <w:rFonts w:ascii="Tahoma" w:eastAsia="Times New Roman" w:hAnsi="Tahoma" w:cs="Tahoma"/>
            <w:color w:val="000000"/>
            <w:spacing w:val="0"/>
            <w:w w:val="100"/>
            <w:sz w:val="24"/>
            <w:szCs w:val="24"/>
            <w:u w:val="single"/>
            <w:lang w:eastAsia="pt-BR"/>
          </w:rPr>
          <w:t>[4]</w:t>
        </w:r>
      </w:hyperlink>
      <w:r w:rsidRPr="007B2D06">
        <w:rPr>
          <w:rFonts w:ascii="Tahoma" w:eastAsia="Times New Roman" w:hAnsi="Tahoma" w:cs="Tahoma"/>
          <w:color w:val="000000"/>
          <w:spacing w:val="0"/>
          <w:w w:val="100"/>
          <w:sz w:val="24"/>
          <w:szCs w:val="24"/>
          <w:lang w:eastAsia="pt-BR"/>
        </w:rPr>
        <w:t> Mas muitos outros discordam dessa afirmação. “Citando exemplos, Bloomfield afirma (assim como outros) que a voz passiva de</w:t>
      </w:r>
      <w:r w:rsidRPr="007B2D06">
        <w:rPr>
          <w:rFonts w:ascii="Tahoma" w:eastAsia="Times New Roman" w:hAnsi="Tahoma" w:cs="Tahoma"/>
          <w:b/>
          <w:bCs/>
          <w:color w:val="000000"/>
          <w:spacing w:val="0"/>
          <w:w w:val="100"/>
          <w:sz w:val="24"/>
          <w:szCs w:val="24"/>
          <w:lang w:eastAsia="pt-BR"/>
        </w:rPr>
        <w:t> </w:t>
      </w:r>
      <w:proofErr w:type="spellStart"/>
      <w:r w:rsidRPr="007B2D06">
        <w:rPr>
          <w:rFonts w:ascii="Tahoma" w:eastAsia="Times New Roman" w:hAnsi="Tahoma" w:cs="Tahoma"/>
          <w:b/>
          <w:bCs/>
          <w:i/>
          <w:iCs/>
          <w:color w:val="000000"/>
          <w:spacing w:val="0"/>
          <w:w w:val="100"/>
          <w:sz w:val="24"/>
          <w:szCs w:val="24"/>
          <w:lang w:eastAsia="pt-BR"/>
        </w:rPr>
        <w:t>tasso</w:t>
      </w:r>
      <w:proofErr w:type="spellEnd"/>
      <w:r w:rsidRPr="007B2D06">
        <w:rPr>
          <w:rFonts w:ascii="Tahoma" w:eastAsia="Times New Roman" w:hAnsi="Tahoma" w:cs="Tahoma"/>
          <w:i/>
          <w:iCs/>
          <w:color w:val="000000"/>
          <w:spacing w:val="0"/>
          <w:w w:val="100"/>
          <w:sz w:val="24"/>
          <w:szCs w:val="24"/>
          <w:lang w:eastAsia="pt-BR"/>
        </w:rPr>
        <w:t> </w:t>
      </w:r>
      <w:r w:rsidRPr="007B2D06">
        <w:rPr>
          <w:rFonts w:ascii="Tahoma" w:eastAsia="Times New Roman" w:hAnsi="Tahoma" w:cs="Tahoma"/>
          <w:color w:val="000000"/>
          <w:spacing w:val="0"/>
          <w:w w:val="100"/>
          <w:sz w:val="24"/>
          <w:szCs w:val="24"/>
          <w:lang w:eastAsia="pt-BR"/>
        </w:rPr>
        <w:t>frequentemente transmite o sentido médio [...]”.</w:t>
      </w:r>
      <w:hyperlink r:id="rId8" w:anchor="_ftn5" w:tgtFrame="_blank" w:history="1">
        <w:r w:rsidRPr="007B2D06">
          <w:rPr>
            <w:rFonts w:ascii="Tahoma" w:eastAsia="Times New Roman" w:hAnsi="Tahoma" w:cs="Tahoma"/>
            <w:color w:val="000000"/>
            <w:spacing w:val="0"/>
            <w:w w:val="100"/>
            <w:sz w:val="24"/>
            <w:szCs w:val="24"/>
            <w:u w:val="single"/>
            <w:lang w:eastAsia="pt-BR"/>
          </w:rPr>
          <w:t>[5]</w:t>
        </w:r>
      </w:hyperlink>
    </w:p>
    <w:p w14:paraId="1A436ECC" w14:textId="77777777" w:rsidR="007B2D06" w:rsidRPr="007B2D06" w:rsidRDefault="007B2D06" w:rsidP="007B2D06">
      <w:pPr>
        <w:spacing w:after="105" w:line="384" w:lineRule="atLeast"/>
        <w:ind w:left="709"/>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“Crisóstomo vai além ao dizer que a expressão </w:t>
      </w:r>
      <w:proofErr w:type="spellStart"/>
      <w:r w:rsidRPr="007B2D06">
        <w:rPr>
          <w:rFonts w:ascii="Tahoma" w:eastAsia="Times New Roman" w:hAnsi="Tahoma" w:cs="Tahoma"/>
          <w:b/>
          <w:bCs/>
          <w:i/>
          <w:iCs/>
          <w:color w:val="000000"/>
          <w:spacing w:val="0"/>
          <w:w w:val="100"/>
          <w:sz w:val="24"/>
          <w:szCs w:val="24"/>
          <w:lang w:eastAsia="pt-BR"/>
        </w:rPr>
        <w:t>tetagmenoi</w:t>
      </w:r>
      <w:proofErr w:type="spellEnd"/>
      <w:r w:rsidRPr="007B2D06">
        <w:rPr>
          <w:rFonts w:ascii="Tahoma" w:eastAsia="Times New Roman" w:hAnsi="Tahoma" w:cs="Tahoma"/>
          <w:b/>
          <w:bCs/>
          <w:color w:val="000000"/>
          <w:spacing w:val="0"/>
          <w:w w:val="100"/>
          <w:sz w:val="24"/>
          <w:szCs w:val="24"/>
          <w:lang w:eastAsia="pt-BR"/>
        </w:rPr>
        <w:t> </w:t>
      </w:r>
      <w:r w:rsidRPr="007B2D06">
        <w:rPr>
          <w:rFonts w:ascii="Tahoma" w:eastAsia="Times New Roman" w:hAnsi="Tahoma" w:cs="Tahoma"/>
          <w:color w:val="000000"/>
          <w:spacing w:val="0"/>
          <w:w w:val="100"/>
          <w:sz w:val="24"/>
          <w:szCs w:val="24"/>
          <w:lang w:eastAsia="pt-BR"/>
        </w:rPr>
        <w:t xml:space="preserve">é empregada para indicar que o assunto não é uma questão de necessidade, nem daquilo que é compulsório. E, assim, longe de favorecer o sistema de um decreto absoluto, as palavras levariam à conclusão oposta, de que o Criador, embora ‘prendendo a natureza ao destino, deixou livre </w:t>
      </w:r>
      <w:proofErr w:type="spellStart"/>
      <w:r w:rsidRPr="007B2D06">
        <w:rPr>
          <w:rFonts w:ascii="Tahoma" w:eastAsia="Times New Roman" w:hAnsi="Tahoma" w:cs="Tahoma"/>
          <w:color w:val="000000"/>
          <w:spacing w:val="0"/>
          <w:w w:val="100"/>
          <w:sz w:val="24"/>
          <w:szCs w:val="24"/>
          <w:lang w:eastAsia="pt-BR"/>
        </w:rPr>
        <w:t>a</w:t>
      </w:r>
      <w:proofErr w:type="spellEnd"/>
      <w:r w:rsidRPr="007B2D06">
        <w:rPr>
          <w:rFonts w:ascii="Tahoma" w:eastAsia="Times New Roman" w:hAnsi="Tahoma" w:cs="Tahoma"/>
          <w:color w:val="000000"/>
          <w:spacing w:val="0"/>
          <w:w w:val="100"/>
          <w:sz w:val="24"/>
          <w:szCs w:val="24"/>
          <w:lang w:eastAsia="pt-BR"/>
        </w:rPr>
        <w:t xml:space="preserve"> vontade humana’”.</w:t>
      </w:r>
      <w:hyperlink r:id="rId9" w:anchor="_ftn6" w:tgtFrame="_blank" w:history="1">
        <w:r w:rsidRPr="007B2D06">
          <w:rPr>
            <w:rFonts w:ascii="Tahoma" w:eastAsia="Times New Roman" w:hAnsi="Tahoma" w:cs="Tahoma"/>
            <w:color w:val="000000"/>
            <w:spacing w:val="0"/>
            <w:w w:val="100"/>
            <w:sz w:val="24"/>
            <w:szCs w:val="24"/>
            <w:u w:val="single"/>
            <w:lang w:eastAsia="pt-BR"/>
          </w:rPr>
          <w:t>[6]</w:t>
        </w:r>
      </w:hyperlink>
    </w:p>
    <w:p w14:paraId="27FE3990"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 xml:space="preserve">Já vimos que o testemunho de Crisóstomo não pode ser ignorado. Os pais gregos não viram nessa passagem qualquer sugestão de um decreto absoluto daqueles que deveriam ser salvos. Henry </w:t>
      </w:r>
      <w:proofErr w:type="spellStart"/>
      <w:r w:rsidRPr="007B2D06">
        <w:rPr>
          <w:rFonts w:ascii="Tahoma" w:eastAsia="Times New Roman" w:hAnsi="Tahoma" w:cs="Tahoma"/>
          <w:color w:val="000000"/>
          <w:spacing w:val="0"/>
          <w:w w:val="100"/>
          <w:sz w:val="24"/>
          <w:szCs w:val="24"/>
          <w:lang w:eastAsia="pt-BR"/>
        </w:rPr>
        <w:t>Alford</w:t>
      </w:r>
      <w:proofErr w:type="spellEnd"/>
      <w:r w:rsidRPr="007B2D06">
        <w:rPr>
          <w:rFonts w:ascii="Tahoma" w:eastAsia="Times New Roman" w:hAnsi="Tahoma" w:cs="Tahoma"/>
          <w:color w:val="000000"/>
          <w:spacing w:val="0"/>
          <w:w w:val="100"/>
          <w:sz w:val="24"/>
          <w:szCs w:val="24"/>
          <w:lang w:eastAsia="pt-BR"/>
        </w:rPr>
        <w:t xml:space="preserve"> menciona o questionamento que </w:t>
      </w:r>
      <w:proofErr w:type="spellStart"/>
      <w:r w:rsidRPr="007B2D06">
        <w:rPr>
          <w:rFonts w:ascii="Tahoma" w:eastAsia="Times New Roman" w:hAnsi="Tahoma" w:cs="Tahoma"/>
          <w:color w:val="000000"/>
          <w:spacing w:val="0"/>
          <w:w w:val="100"/>
          <w:sz w:val="24"/>
          <w:szCs w:val="24"/>
          <w:lang w:eastAsia="pt-BR"/>
        </w:rPr>
        <w:t>Wordsworth</w:t>
      </w:r>
      <w:proofErr w:type="spellEnd"/>
      <w:r w:rsidRPr="007B2D06">
        <w:rPr>
          <w:rFonts w:ascii="Tahoma" w:eastAsia="Times New Roman" w:hAnsi="Tahoma" w:cs="Tahoma"/>
          <w:color w:val="000000"/>
          <w:spacing w:val="0"/>
          <w:w w:val="100"/>
          <w:sz w:val="24"/>
          <w:szCs w:val="24"/>
          <w:lang w:eastAsia="pt-BR"/>
        </w:rPr>
        <w:t xml:space="preserve"> faz da relação entre a Vulgata e a disseminação do pensamento determinista no cristianismo ocidental, e salienta que os pais orientais, versados na língua do Novo Testamento, rejeitavam a interpretação </w:t>
      </w:r>
      <w:proofErr w:type="spellStart"/>
      <w:r w:rsidRPr="007B2D06">
        <w:rPr>
          <w:rFonts w:ascii="Tahoma" w:eastAsia="Times New Roman" w:hAnsi="Tahoma" w:cs="Tahoma"/>
          <w:color w:val="000000"/>
          <w:spacing w:val="0"/>
          <w:w w:val="100"/>
          <w:sz w:val="24"/>
          <w:szCs w:val="24"/>
          <w:lang w:eastAsia="pt-BR"/>
        </w:rPr>
        <w:t>predestinista</w:t>
      </w:r>
      <w:proofErr w:type="spellEnd"/>
      <w:r w:rsidRPr="007B2D06">
        <w:rPr>
          <w:rFonts w:ascii="Tahoma" w:eastAsia="Times New Roman" w:hAnsi="Tahoma" w:cs="Tahoma"/>
          <w:color w:val="000000"/>
          <w:spacing w:val="0"/>
          <w:w w:val="100"/>
          <w:sz w:val="24"/>
          <w:szCs w:val="24"/>
          <w:lang w:eastAsia="pt-BR"/>
        </w:rPr>
        <w:t xml:space="preserve"> do texto proposta pelos pais da igreja ocidental:</w:t>
      </w:r>
    </w:p>
    <w:p w14:paraId="5EF31EA7" w14:textId="77777777" w:rsidR="007B2D06" w:rsidRPr="007B2D06" w:rsidRDefault="007B2D06" w:rsidP="007B2D06">
      <w:pPr>
        <w:spacing w:after="105" w:line="384" w:lineRule="atLeast"/>
        <w:ind w:left="709"/>
        <w:rPr>
          <w:rFonts w:ascii="Tahoma" w:eastAsia="Times New Roman" w:hAnsi="Tahoma" w:cs="Tahoma"/>
          <w:color w:val="000000"/>
          <w:spacing w:val="0"/>
          <w:w w:val="100"/>
          <w:sz w:val="24"/>
          <w:szCs w:val="24"/>
          <w:lang w:eastAsia="pt-BR"/>
        </w:rPr>
      </w:pPr>
      <w:proofErr w:type="spellStart"/>
      <w:r w:rsidRPr="007B2D06">
        <w:rPr>
          <w:rFonts w:ascii="Tahoma" w:eastAsia="Times New Roman" w:hAnsi="Tahoma" w:cs="Tahoma"/>
          <w:color w:val="000000"/>
          <w:spacing w:val="0"/>
          <w:w w:val="100"/>
          <w:sz w:val="24"/>
          <w:szCs w:val="24"/>
          <w:lang w:eastAsia="pt-BR"/>
        </w:rPr>
        <w:t>Wordsworth</w:t>
      </w:r>
      <w:proofErr w:type="spellEnd"/>
      <w:r w:rsidRPr="007B2D06">
        <w:rPr>
          <w:rFonts w:ascii="Tahoma" w:eastAsia="Times New Roman" w:hAnsi="Tahoma" w:cs="Tahoma"/>
          <w:color w:val="000000"/>
          <w:spacing w:val="0"/>
          <w:w w:val="100"/>
          <w:sz w:val="24"/>
          <w:szCs w:val="24"/>
          <w:lang w:eastAsia="pt-BR"/>
        </w:rPr>
        <w:t xml:space="preserve"> também observa que seria interessante inquirir qual influência tais construções como esta de </w:t>
      </w:r>
      <w:proofErr w:type="spellStart"/>
      <w:r w:rsidRPr="007B2D06">
        <w:rPr>
          <w:rFonts w:ascii="Tahoma" w:eastAsia="Times New Roman" w:hAnsi="Tahoma" w:cs="Tahoma"/>
          <w:i/>
          <w:iCs/>
          <w:color w:val="000000"/>
          <w:spacing w:val="0"/>
          <w:w w:val="100"/>
          <w:sz w:val="24"/>
          <w:szCs w:val="24"/>
          <w:lang w:eastAsia="pt-BR"/>
        </w:rPr>
        <w:t>praeordinati</w:t>
      </w:r>
      <w:proofErr w:type="spellEnd"/>
      <w:r w:rsidRPr="007B2D06">
        <w:rPr>
          <w:rFonts w:ascii="Tahoma" w:eastAsia="Times New Roman" w:hAnsi="Tahoma" w:cs="Tahoma"/>
          <w:color w:val="000000"/>
          <w:spacing w:val="0"/>
          <w:w w:val="100"/>
          <w:sz w:val="24"/>
          <w:szCs w:val="24"/>
          <w:lang w:eastAsia="pt-BR"/>
        </w:rPr>
        <w:t> na versão Vulgata tiveram sobre as mentes de homens como Santo Agostinho e seus seguidores na Igreja Ocidental, ao tratar das grandes questões do livre-arbítrio, da eleição, da reprovação, e da perseverança final: e alguns escritores das igrejas reformadas que, embora rejeitando a autoridade daquela versão, ainda assim foram influenciados por ela, afastando-se do sentido original aqui e no capítulo 2.47. </w:t>
      </w:r>
      <w:r w:rsidRPr="007B2D06">
        <w:rPr>
          <w:rFonts w:ascii="Tahoma" w:eastAsia="Times New Roman" w:hAnsi="Tahoma" w:cs="Tahoma"/>
          <w:i/>
          <w:iCs/>
          <w:color w:val="000000"/>
          <w:spacing w:val="0"/>
          <w:w w:val="100"/>
          <w:sz w:val="24"/>
          <w:szCs w:val="24"/>
          <w:lang w:eastAsia="pt-BR"/>
        </w:rPr>
        <w:t>A tendência dos Pais orientais, que liam o original grego, foi, ele destaca, para uma direção diferente daquela da escola ocidental</w:t>
      </w:r>
      <w:r w:rsidRPr="007B2D06">
        <w:rPr>
          <w:rFonts w:ascii="Tahoma" w:eastAsia="Times New Roman" w:hAnsi="Tahoma" w:cs="Tahoma"/>
          <w:color w:val="000000"/>
          <w:spacing w:val="0"/>
          <w:w w:val="100"/>
          <w:sz w:val="24"/>
          <w:szCs w:val="24"/>
          <w:lang w:eastAsia="pt-BR"/>
        </w:rPr>
        <w:t>.</w:t>
      </w:r>
      <w:hyperlink r:id="rId10" w:anchor="_ftn7" w:tgtFrame="_blank" w:history="1">
        <w:r w:rsidRPr="007B2D06">
          <w:rPr>
            <w:rFonts w:ascii="Tahoma" w:eastAsia="Times New Roman" w:hAnsi="Tahoma" w:cs="Tahoma"/>
            <w:color w:val="000000"/>
            <w:spacing w:val="0"/>
            <w:w w:val="100"/>
            <w:sz w:val="24"/>
            <w:szCs w:val="24"/>
            <w:u w:val="single"/>
            <w:lang w:eastAsia="pt-BR"/>
          </w:rPr>
          <w:t>[7]</w:t>
        </w:r>
      </w:hyperlink>
      <w:r w:rsidRPr="007B2D06">
        <w:rPr>
          <w:rFonts w:ascii="Tahoma" w:eastAsia="Times New Roman" w:hAnsi="Tahoma" w:cs="Tahoma"/>
          <w:color w:val="000000"/>
          <w:spacing w:val="0"/>
          <w:w w:val="100"/>
          <w:sz w:val="24"/>
          <w:szCs w:val="24"/>
          <w:lang w:eastAsia="pt-BR"/>
        </w:rPr>
        <w:t> (Ênfase minha)</w:t>
      </w:r>
    </w:p>
    <w:p w14:paraId="2FEBE89A"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val="en-CA" w:eastAsia="pt-BR"/>
        </w:rPr>
      </w:pPr>
      <w:r w:rsidRPr="007B2D06">
        <w:rPr>
          <w:rFonts w:ascii="Tahoma" w:eastAsia="Times New Roman" w:hAnsi="Tahoma" w:cs="Tahoma"/>
          <w:color w:val="000000"/>
          <w:spacing w:val="0"/>
          <w:w w:val="100"/>
          <w:sz w:val="24"/>
          <w:szCs w:val="24"/>
          <w:lang w:eastAsia="pt-BR"/>
        </w:rPr>
        <w:t xml:space="preserve">            </w:t>
      </w:r>
      <w:proofErr w:type="spellStart"/>
      <w:r w:rsidRPr="007B2D06">
        <w:rPr>
          <w:rFonts w:ascii="Tahoma" w:eastAsia="Times New Roman" w:hAnsi="Tahoma" w:cs="Tahoma"/>
          <w:color w:val="000000"/>
          <w:spacing w:val="0"/>
          <w:w w:val="100"/>
          <w:sz w:val="24"/>
          <w:szCs w:val="24"/>
          <w:lang w:eastAsia="pt-BR"/>
        </w:rPr>
        <w:t>Shank</w:t>
      </w:r>
      <w:proofErr w:type="spellEnd"/>
      <w:r w:rsidRPr="007B2D06">
        <w:rPr>
          <w:rFonts w:ascii="Tahoma" w:eastAsia="Times New Roman" w:hAnsi="Tahoma" w:cs="Tahoma"/>
          <w:color w:val="000000"/>
          <w:spacing w:val="0"/>
          <w:w w:val="100"/>
          <w:sz w:val="24"/>
          <w:szCs w:val="24"/>
          <w:lang w:eastAsia="pt-BR"/>
        </w:rPr>
        <w:t xml:space="preserve"> observa que a Vulgata insere o prefixo </w:t>
      </w:r>
      <w:proofErr w:type="spellStart"/>
      <w:r w:rsidRPr="007B2D06">
        <w:rPr>
          <w:rFonts w:ascii="Tahoma" w:eastAsia="Times New Roman" w:hAnsi="Tahoma" w:cs="Tahoma"/>
          <w:i/>
          <w:iCs/>
          <w:color w:val="000000"/>
          <w:spacing w:val="0"/>
          <w:w w:val="100"/>
          <w:sz w:val="24"/>
          <w:szCs w:val="24"/>
          <w:lang w:eastAsia="pt-BR"/>
        </w:rPr>
        <w:t>pre</w:t>
      </w:r>
      <w:proofErr w:type="spellEnd"/>
      <w:r w:rsidRPr="007B2D06">
        <w:rPr>
          <w:rFonts w:ascii="Tahoma" w:eastAsia="Times New Roman" w:hAnsi="Tahoma" w:cs="Tahoma"/>
          <w:color w:val="000000"/>
          <w:spacing w:val="0"/>
          <w:w w:val="100"/>
          <w:sz w:val="24"/>
          <w:szCs w:val="24"/>
          <w:lang w:eastAsia="pt-BR"/>
        </w:rPr>
        <w:t> à palavra </w:t>
      </w:r>
      <w:proofErr w:type="spellStart"/>
      <w:r w:rsidRPr="007B2D06">
        <w:rPr>
          <w:rFonts w:ascii="Tahoma" w:eastAsia="Times New Roman" w:hAnsi="Tahoma" w:cs="Tahoma"/>
          <w:i/>
          <w:iCs/>
          <w:color w:val="000000"/>
          <w:spacing w:val="0"/>
          <w:w w:val="100"/>
          <w:sz w:val="24"/>
          <w:szCs w:val="24"/>
          <w:lang w:eastAsia="pt-BR"/>
        </w:rPr>
        <w:t>ordinati</w:t>
      </w:r>
      <w:proofErr w:type="spellEnd"/>
      <w:r w:rsidRPr="007B2D06">
        <w:rPr>
          <w:rFonts w:ascii="Tahoma" w:eastAsia="Times New Roman" w:hAnsi="Tahoma" w:cs="Tahoma"/>
          <w:color w:val="000000"/>
          <w:spacing w:val="0"/>
          <w:w w:val="100"/>
          <w:sz w:val="24"/>
          <w:szCs w:val="24"/>
          <w:lang w:eastAsia="pt-BR"/>
        </w:rPr>
        <w:t>, quando no texto grego </w:t>
      </w:r>
      <w:proofErr w:type="spellStart"/>
      <w:r w:rsidRPr="007B2D06">
        <w:rPr>
          <w:rFonts w:ascii="Tahoma" w:eastAsia="Times New Roman" w:hAnsi="Tahoma" w:cs="Tahoma"/>
          <w:b/>
          <w:bCs/>
          <w:i/>
          <w:iCs/>
          <w:color w:val="000000"/>
          <w:spacing w:val="0"/>
          <w:w w:val="100"/>
          <w:sz w:val="24"/>
          <w:szCs w:val="24"/>
          <w:lang w:eastAsia="pt-BR"/>
        </w:rPr>
        <w:t>tetagmenoi</w:t>
      </w:r>
      <w:proofErr w:type="spellEnd"/>
      <w:r w:rsidRPr="007B2D06">
        <w:rPr>
          <w:rFonts w:ascii="Tahoma" w:eastAsia="Times New Roman" w:hAnsi="Tahoma" w:cs="Tahoma"/>
          <w:b/>
          <w:bCs/>
          <w:color w:val="000000"/>
          <w:spacing w:val="0"/>
          <w:w w:val="100"/>
          <w:sz w:val="24"/>
          <w:szCs w:val="24"/>
          <w:lang w:eastAsia="pt-BR"/>
        </w:rPr>
        <w:t> </w:t>
      </w:r>
      <w:r w:rsidRPr="007B2D06">
        <w:rPr>
          <w:rFonts w:ascii="Tahoma" w:eastAsia="Times New Roman" w:hAnsi="Tahoma" w:cs="Tahoma"/>
          <w:color w:val="000000"/>
          <w:spacing w:val="0"/>
          <w:w w:val="100"/>
          <w:sz w:val="24"/>
          <w:szCs w:val="24"/>
          <w:lang w:eastAsia="pt-BR"/>
        </w:rPr>
        <w:t>não vem acompanhado do prefixo </w:t>
      </w:r>
      <w:proofErr w:type="gramStart"/>
      <w:r w:rsidRPr="007B2D06">
        <w:rPr>
          <w:rFonts w:ascii="Tahoma" w:eastAsia="Times New Roman" w:hAnsi="Tahoma" w:cs="Tahoma"/>
          <w:i/>
          <w:iCs/>
          <w:color w:val="000000"/>
          <w:spacing w:val="0"/>
          <w:w w:val="100"/>
          <w:sz w:val="24"/>
          <w:szCs w:val="24"/>
          <w:lang w:eastAsia="pt-BR"/>
        </w:rPr>
        <w:t>pro</w:t>
      </w:r>
      <w:proofErr w:type="gramEnd"/>
      <w:r w:rsidRPr="007B2D06">
        <w:rPr>
          <w:rFonts w:ascii="Tahoma" w:eastAsia="Times New Roman" w:hAnsi="Tahoma" w:cs="Tahoma"/>
          <w:color w:val="000000"/>
          <w:spacing w:val="0"/>
          <w:w w:val="100"/>
          <w:sz w:val="24"/>
          <w:szCs w:val="24"/>
          <w:lang w:eastAsia="pt-BR"/>
        </w:rPr>
        <w:t>: </w:t>
      </w:r>
      <w:proofErr w:type="spellStart"/>
      <w:r w:rsidRPr="007B2D06">
        <w:rPr>
          <w:rFonts w:ascii="Tahoma" w:eastAsia="Times New Roman" w:hAnsi="Tahoma" w:cs="Tahoma"/>
          <w:i/>
          <w:iCs/>
          <w:color w:val="000000"/>
          <w:spacing w:val="0"/>
          <w:w w:val="100"/>
          <w:sz w:val="24"/>
          <w:szCs w:val="24"/>
          <w:lang w:eastAsia="pt-BR"/>
        </w:rPr>
        <w:t>tassõ</w:t>
      </w:r>
      <w:proofErr w:type="spellEnd"/>
      <w:r w:rsidRPr="007B2D06">
        <w:rPr>
          <w:rFonts w:ascii="Tahoma" w:eastAsia="Times New Roman" w:hAnsi="Tahoma" w:cs="Tahoma"/>
          <w:color w:val="000000"/>
          <w:spacing w:val="0"/>
          <w:w w:val="100"/>
          <w:sz w:val="24"/>
          <w:szCs w:val="24"/>
          <w:lang w:eastAsia="pt-BR"/>
        </w:rPr>
        <w:t>, e não </w:t>
      </w:r>
      <w:proofErr w:type="spellStart"/>
      <w:r w:rsidRPr="007B2D06">
        <w:rPr>
          <w:rFonts w:ascii="Tahoma" w:eastAsia="Times New Roman" w:hAnsi="Tahoma" w:cs="Tahoma"/>
          <w:i/>
          <w:iCs/>
          <w:color w:val="000000"/>
          <w:spacing w:val="0"/>
          <w:w w:val="100"/>
          <w:sz w:val="24"/>
          <w:szCs w:val="24"/>
          <w:lang w:eastAsia="pt-BR"/>
        </w:rPr>
        <w:t>protassõ</w:t>
      </w:r>
      <w:proofErr w:type="spellEnd"/>
      <w:r w:rsidRPr="007B2D06">
        <w:rPr>
          <w:rFonts w:ascii="Tahoma" w:eastAsia="Times New Roman" w:hAnsi="Tahoma" w:cs="Tahoma"/>
          <w:color w:val="000000"/>
          <w:spacing w:val="0"/>
          <w:w w:val="100"/>
          <w:sz w:val="24"/>
          <w:szCs w:val="24"/>
          <w:lang w:eastAsia="pt-BR"/>
        </w:rPr>
        <w:t>. Ele observa ainda que a agência humana declarada no versículo 46 contraria a ideia de que Lucas tivesse em mente a agência divina no verso 48.</w:t>
      </w:r>
      <w:hyperlink r:id="rId11" w:anchor="_ftn8" w:tgtFrame="_blank" w:history="1">
        <w:r w:rsidRPr="007B2D06">
          <w:rPr>
            <w:rFonts w:ascii="Tahoma" w:eastAsia="Times New Roman" w:hAnsi="Tahoma" w:cs="Tahoma"/>
            <w:color w:val="000000"/>
            <w:spacing w:val="0"/>
            <w:w w:val="100"/>
            <w:sz w:val="24"/>
            <w:szCs w:val="24"/>
            <w:u w:val="single"/>
            <w:lang w:val="en-CA" w:eastAsia="pt-BR"/>
          </w:rPr>
          <w:t>[8]</w:t>
        </w:r>
      </w:hyperlink>
    </w:p>
    <w:p w14:paraId="0847200F"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val="en-CA" w:eastAsia="pt-BR"/>
        </w:rPr>
      </w:pPr>
      <w:r w:rsidRPr="007B2D06">
        <w:rPr>
          <w:rFonts w:ascii="Tahoma" w:eastAsia="Times New Roman" w:hAnsi="Tahoma" w:cs="Tahoma"/>
          <w:color w:val="000000"/>
          <w:spacing w:val="0"/>
          <w:w w:val="100"/>
          <w:sz w:val="24"/>
          <w:szCs w:val="24"/>
          <w:lang w:val="en-CA" w:eastAsia="pt-BR"/>
        </w:rPr>
        <w:t xml:space="preserve">John William McGarvey </w:t>
      </w:r>
      <w:proofErr w:type="spellStart"/>
      <w:r w:rsidRPr="007B2D06">
        <w:rPr>
          <w:rFonts w:ascii="Tahoma" w:eastAsia="Times New Roman" w:hAnsi="Tahoma" w:cs="Tahoma"/>
          <w:color w:val="000000"/>
          <w:spacing w:val="0"/>
          <w:w w:val="100"/>
          <w:sz w:val="24"/>
          <w:szCs w:val="24"/>
          <w:lang w:val="en-CA" w:eastAsia="pt-BR"/>
        </w:rPr>
        <w:t>diz</w:t>
      </w:r>
      <w:proofErr w:type="spellEnd"/>
      <w:r w:rsidRPr="007B2D06">
        <w:rPr>
          <w:rFonts w:ascii="Tahoma" w:eastAsia="Times New Roman" w:hAnsi="Tahoma" w:cs="Tahoma"/>
          <w:color w:val="000000"/>
          <w:spacing w:val="0"/>
          <w:w w:val="100"/>
          <w:sz w:val="24"/>
          <w:szCs w:val="24"/>
          <w:lang w:val="en-CA" w:eastAsia="pt-BR"/>
        </w:rPr>
        <w:t xml:space="preserve"> </w:t>
      </w:r>
      <w:proofErr w:type="spellStart"/>
      <w:r w:rsidRPr="007B2D06">
        <w:rPr>
          <w:rFonts w:ascii="Tahoma" w:eastAsia="Times New Roman" w:hAnsi="Tahoma" w:cs="Tahoma"/>
          <w:color w:val="000000"/>
          <w:spacing w:val="0"/>
          <w:w w:val="100"/>
          <w:sz w:val="24"/>
          <w:szCs w:val="24"/>
          <w:lang w:val="en-CA" w:eastAsia="pt-BR"/>
        </w:rPr>
        <w:t>em</w:t>
      </w:r>
      <w:proofErr w:type="spellEnd"/>
      <w:r w:rsidRPr="007B2D06">
        <w:rPr>
          <w:rFonts w:ascii="Tahoma" w:eastAsia="Times New Roman" w:hAnsi="Tahoma" w:cs="Tahoma"/>
          <w:color w:val="000000"/>
          <w:spacing w:val="0"/>
          <w:w w:val="100"/>
          <w:sz w:val="24"/>
          <w:szCs w:val="24"/>
          <w:lang w:val="en-CA" w:eastAsia="pt-BR"/>
        </w:rPr>
        <w:t xml:space="preserve"> </w:t>
      </w:r>
      <w:proofErr w:type="spellStart"/>
      <w:r w:rsidRPr="007B2D06">
        <w:rPr>
          <w:rFonts w:ascii="Tahoma" w:eastAsia="Times New Roman" w:hAnsi="Tahoma" w:cs="Tahoma"/>
          <w:color w:val="000000"/>
          <w:spacing w:val="0"/>
          <w:w w:val="100"/>
          <w:sz w:val="24"/>
          <w:szCs w:val="24"/>
          <w:lang w:val="en-CA" w:eastAsia="pt-BR"/>
        </w:rPr>
        <w:t>seu</w:t>
      </w:r>
      <w:proofErr w:type="spellEnd"/>
      <w:r w:rsidRPr="007B2D06">
        <w:rPr>
          <w:rFonts w:ascii="Tahoma" w:eastAsia="Times New Roman" w:hAnsi="Tahoma" w:cs="Tahoma"/>
          <w:color w:val="000000"/>
          <w:spacing w:val="0"/>
          <w:w w:val="100"/>
          <w:sz w:val="24"/>
          <w:szCs w:val="24"/>
          <w:lang w:val="en-CA" w:eastAsia="pt-BR"/>
        </w:rPr>
        <w:t> </w:t>
      </w:r>
      <w:r w:rsidRPr="007B2D06">
        <w:rPr>
          <w:rFonts w:ascii="Tahoma" w:eastAsia="Times New Roman" w:hAnsi="Tahoma" w:cs="Tahoma"/>
          <w:i/>
          <w:iCs/>
          <w:color w:val="000000"/>
          <w:spacing w:val="0"/>
          <w:w w:val="100"/>
          <w:sz w:val="24"/>
          <w:szCs w:val="24"/>
          <w:lang w:val="en-CA" w:eastAsia="pt-BR"/>
        </w:rPr>
        <w:t>New Commentary on Acts of Apostles</w:t>
      </w:r>
      <w:r w:rsidRPr="007B2D06">
        <w:rPr>
          <w:rFonts w:ascii="Tahoma" w:eastAsia="Times New Roman" w:hAnsi="Tahoma" w:cs="Tahoma"/>
          <w:color w:val="000000"/>
          <w:spacing w:val="0"/>
          <w:w w:val="100"/>
          <w:sz w:val="24"/>
          <w:szCs w:val="24"/>
          <w:lang w:val="en-CA" w:eastAsia="pt-BR"/>
        </w:rPr>
        <w:t>:</w:t>
      </w:r>
    </w:p>
    <w:p w14:paraId="2BA59733" w14:textId="77777777" w:rsidR="007B2D06" w:rsidRPr="007B2D06" w:rsidRDefault="007B2D06" w:rsidP="007B2D06">
      <w:pPr>
        <w:spacing w:after="105" w:line="384" w:lineRule="atLeast"/>
        <w:ind w:left="709"/>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Na passagem diante de nós o contexto não apresenta nenhuma alusão a algo feito por Deus para uma parte da audiência, e não feito para a outra, ou a algum propósito firmado a respeito de uma e não de outra, mas fala de dois estados de mente contrastados entre o povo, e dois consequentes cursos de conduta. Dos judeus presentes é dito, em primeiro lugar, que eles estavam cheios de inveja; em segundo lugar, que eles estavam contradizendo o que Paulo falava, e blasfemavam; em terceiro lugar, que eles julgaram a si mesmos indignos da vida eterna. Em contraste com estes, os gentios, em primeiro lugar, estavam alegres; em segundo lugar, eles glorificavam a palavra de Deus; em terceiro lugar, eles estavam </w:t>
      </w:r>
      <w:proofErr w:type="spellStart"/>
      <w:r w:rsidRPr="007B2D06">
        <w:rPr>
          <w:rFonts w:ascii="Tahoma" w:eastAsia="Times New Roman" w:hAnsi="Tahoma" w:cs="Tahoma"/>
          <w:b/>
          <w:bCs/>
          <w:i/>
          <w:iCs/>
          <w:color w:val="000000"/>
          <w:spacing w:val="0"/>
          <w:w w:val="100"/>
          <w:sz w:val="24"/>
          <w:szCs w:val="24"/>
          <w:lang w:eastAsia="pt-BR"/>
        </w:rPr>
        <w:t>τετ</w:t>
      </w:r>
      <w:proofErr w:type="spellEnd"/>
      <w:r w:rsidRPr="007B2D06">
        <w:rPr>
          <w:rFonts w:ascii="Tahoma" w:eastAsia="Times New Roman" w:hAnsi="Tahoma" w:cs="Tahoma"/>
          <w:b/>
          <w:bCs/>
          <w:i/>
          <w:iCs/>
          <w:color w:val="000000"/>
          <w:spacing w:val="0"/>
          <w:w w:val="100"/>
          <w:sz w:val="24"/>
          <w:szCs w:val="24"/>
          <w:lang w:eastAsia="pt-BR"/>
        </w:rPr>
        <w:t>αγμενοι </w:t>
      </w:r>
      <w:r w:rsidRPr="007B2D06">
        <w:rPr>
          <w:rFonts w:ascii="Tahoma" w:eastAsia="Times New Roman" w:hAnsi="Tahoma" w:cs="Tahoma"/>
          <w:color w:val="000000"/>
          <w:spacing w:val="0"/>
          <w:w w:val="100"/>
          <w:sz w:val="24"/>
          <w:szCs w:val="24"/>
          <w:lang w:eastAsia="pt-BR"/>
        </w:rPr>
        <w:t>para a vida eterna. Agora, qual dos significados específicos da palavra grega iremos aqui inserir? Ela se encontra contrastada com o ato mental dos judeus ao julgarem-se indignos da vida eterna, e a lei da antítese exige que a entendemos de algum ato mental de natureza oposta. A versão, estavam</w:t>
      </w:r>
      <w:r w:rsidRPr="007B2D06">
        <w:rPr>
          <w:rFonts w:ascii="Tahoma" w:eastAsia="Times New Roman" w:hAnsi="Tahoma" w:cs="Tahoma"/>
          <w:b/>
          <w:bCs/>
          <w:color w:val="000000"/>
          <w:spacing w:val="0"/>
          <w:w w:val="100"/>
          <w:sz w:val="24"/>
          <w:szCs w:val="24"/>
          <w:lang w:eastAsia="pt-BR"/>
        </w:rPr>
        <w:t> </w:t>
      </w:r>
      <w:r w:rsidRPr="007B2D06">
        <w:rPr>
          <w:rFonts w:ascii="Tahoma" w:eastAsia="Times New Roman" w:hAnsi="Tahoma" w:cs="Tahoma"/>
          <w:b/>
          <w:bCs/>
          <w:i/>
          <w:iCs/>
          <w:color w:val="000000"/>
          <w:spacing w:val="0"/>
          <w:w w:val="100"/>
          <w:sz w:val="24"/>
          <w:szCs w:val="24"/>
          <w:lang w:eastAsia="pt-BR"/>
        </w:rPr>
        <w:t>determinados</w:t>
      </w:r>
      <w:r w:rsidRPr="007B2D06">
        <w:rPr>
          <w:rFonts w:ascii="Tahoma" w:eastAsia="Times New Roman" w:hAnsi="Tahoma" w:cs="Tahoma"/>
          <w:b/>
          <w:bCs/>
          <w:color w:val="000000"/>
          <w:spacing w:val="0"/>
          <w:w w:val="100"/>
          <w:sz w:val="24"/>
          <w:szCs w:val="24"/>
          <w:lang w:eastAsia="pt-BR"/>
        </w:rPr>
        <w:t>,</w:t>
      </w:r>
      <w:r w:rsidRPr="007B2D06">
        <w:rPr>
          <w:rFonts w:ascii="Tahoma" w:eastAsia="Times New Roman" w:hAnsi="Tahoma" w:cs="Tahoma"/>
          <w:color w:val="000000"/>
          <w:spacing w:val="0"/>
          <w:w w:val="100"/>
          <w:sz w:val="24"/>
          <w:szCs w:val="24"/>
          <w:lang w:eastAsia="pt-BR"/>
        </w:rPr>
        <w:t xml:space="preserve"> ou estavam </w:t>
      </w:r>
      <w:r w:rsidRPr="007B2D06">
        <w:rPr>
          <w:rFonts w:ascii="Tahoma" w:eastAsia="Times New Roman" w:hAnsi="Tahoma" w:cs="Tahoma"/>
          <w:b/>
          <w:bCs/>
          <w:i/>
          <w:iCs/>
          <w:color w:val="000000"/>
          <w:spacing w:val="0"/>
          <w:w w:val="100"/>
          <w:sz w:val="24"/>
          <w:szCs w:val="24"/>
          <w:lang w:eastAsia="pt-BR"/>
        </w:rPr>
        <w:t>dispostos</w:t>
      </w:r>
      <w:r w:rsidRPr="007B2D06">
        <w:rPr>
          <w:rFonts w:ascii="Tahoma" w:eastAsia="Times New Roman" w:hAnsi="Tahoma" w:cs="Tahoma"/>
          <w:color w:val="000000"/>
          <w:spacing w:val="0"/>
          <w:w w:val="100"/>
          <w:sz w:val="24"/>
          <w:szCs w:val="24"/>
          <w:lang w:eastAsia="pt-BR"/>
        </w:rPr>
        <w:t xml:space="preserve"> para a vida eterna, é a única admitida pelo caso. </w:t>
      </w:r>
      <w:r w:rsidRPr="007B2D06">
        <w:rPr>
          <w:rFonts w:ascii="Tahoma" w:eastAsia="Times New Roman" w:hAnsi="Tahoma" w:cs="Tahoma"/>
          <w:b/>
          <w:bCs/>
          <w:color w:val="000000"/>
          <w:spacing w:val="0"/>
          <w:w w:val="100"/>
          <w:sz w:val="24"/>
          <w:szCs w:val="24"/>
          <w:lang w:eastAsia="pt-BR"/>
        </w:rPr>
        <w:t>O verbo está na voz passiva e no tempo passado,</w:t>
      </w:r>
      <w:r w:rsidRPr="007B2D06">
        <w:rPr>
          <w:rFonts w:ascii="Tahoma" w:eastAsia="Times New Roman" w:hAnsi="Tahoma" w:cs="Tahoma"/>
          <w:color w:val="000000"/>
          <w:spacing w:val="0"/>
          <w:w w:val="100"/>
          <w:sz w:val="24"/>
          <w:szCs w:val="24"/>
          <w:lang w:eastAsia="pt-BR"/>
        </w:rPr>
        <w:t xml:space="preserve"> </w:t>
      </w:r>
      <w:r w:rsidRPr="007B2D06">
        <w:rPr>
          <w:rFonts w:ascii="Tahoma" w:eastAsia="Times New Roman" w:hAnsi="Tahoma" w:cs="Tahoma"/>
          <w:b/>
          <w:bCs/>
          <w:color w:val="000000"/>
          <w:spacing w:val="0"/>
          <w:w w:val="100"/>
          <w:sz w:val="24"/>
          <w:szCs w:val="24"/>
          <w:lang w:eastAsia="pt-BR"/>
        </w:rPr>
        <w:t>e, portanto, descreve um estado mental produzido antes do momento do qual o escritor está falando.</w:t>
      </w:r>
      <w:r w:rsidRPr="007B2D06">
        <w:rPr>
          <w:rFonts w:ascii="Tahoma" w:eastAsia="Times New Roman" w:hAnsi="Tahoma" w:cs="Tahoma"/>
          <w:color w:val="000000"/>
          <w:spacing w:val="0"/>
          <w:w w:val="100"/>
          <w:sz w:val="24"/>
          <w:szCs w:val="24"/>
          <w:lang w:eastAsia="pt-BR"/>
        </w:rPr>
        <w:t xml:space="preserve"> Em outras palavras, a afirmação que “creram todos quantos estavam ordenados para a vida eterna” implica que eles foram levados a esta determinação antes que creram. Em algum momento anterior em sua história, estes gentios, que nasceram e foram educados no paganismo, ficaram sabendo da vida eterna como ela era ensinada pelos judeus. Sob o ensino dos judeus ou sob o ensino de Paulo desde sua chegada em Antioquia, ou sob ambos, eles foram levados de um estado de confusão mental sobre este assunto transcendentalmente importante a uma determinação para obter a vida eterna se possível.</w:t>
      </w:r>
      <w:hyperlink r:id="rId12" w:anchor="_ftn9" w:tgtFrame="_blank" w:history="1">
        <w:r w:rsidRPr="007B2D06">
          <w:rPr>
            <w:rFonts w:ascii="Tahoma" w:eastAsia="Times New Roman" w:hAnsi="Tahoma" w:cs="Tahoma"/>
            <w:color w:val="000000"/>
            <w:spacing w:val="0"/>
            <w:w w:val="100"/>
            <w:sz w:val="24"/>
            <w:szCs w:val="24"/>
            <w:u w:val="single"/>
            <w:lang w:eastAsia="pt-BR"/>
          </w:rPr>
          <w:t>[9]</w:t>
        </w:r>
      </w:hyperlink>
    </w:p>
    <w:p w14:paraId="0AA63867"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 xml:space="preserve">A leitura atenta do capítulo 13 derrama bastante luz sobre o uso do verbo em questão. Paulo e Barnabé chegaram a Antioquia da </w:t>
      </w:r>
      <w:proofErr w:type="spellStart"/>
      <w:r w:rsidRPr="007B2D06">
        <w:rPr>
          <w:rFonts w:ascii="Tahoma" w:eastAsia="Times New Roman" w:hAnsi="Tahoma" w:cs="Tahoma"/>
          <w:color w:val="000000"/>
          <w:spacing w:val="0"/>
          <w:w w:val="100"/>
          <w:sz w:val="24"/>
          <w:szCs w:val="24"/>
          <w:lang w:eastAsia="pt-BR"/>
        </w:rPr>
        <w:t>Psídia</w:t>
      </w:r>
      <w:proofErr w:type="spellEnd"/>
      <w:r w:rsidRPr="007B2D06">
        <w:rPr>
          <w:rFonts w:ascii="Tahoma" w:eastAsia="Times New Roman" w:hAnsi="Tahoma" w:cs="Tahoma"/>
          <w:color w:val="000000"/>
          <w:spacing w:val="0"/>
          <w:w w:val="100"/>
          <w:sz w:val="24"/>
          <w:szCs w:val="24"/>
          <w:lang w:eastAsia="pt-BR"/>
        </w:rPr>
        <w:t xml:space="preserve"> num sábado, dirigindo-se à sinagoga local (v. 14). Ali, Paulo dirigiu seu testemunho aos “varões israelitas” e a “vós outros que também temeis a Deus” (v. 16; cf. v. 26), que são os gentios. O texto bíblico diz que, após uma breve apresentação do evangelho, não apenas “rogaram-lhes que, no sábado seguinte, lhes falassem estas mesmas palavras” (v. 42), mas “muitos dos judeus e dos prosélitos piedosos seguiram Paulo e Barnabé” (v. 43). Não há qualquer afirmação de que essas pessoas se converteram e foram salvas naquela ocasião, mas ao menos pareciam dispostas a ouvir mais do evangelho de Cristo.</w:t>
      </w:r>
      <w:hyperlink r:id="rId13" w:anchor="_ftn10" w:tgtFrame="_blank" w:history="1">
        <w:r w:rsidRPr="007B2D06">
          <w:rPr>
            <w:rFonts w:ascii="Tahoma" w:eastAsia="Times New Roman" w:hAnsi="Tahoma" w:cs="Tahoma"/>
            <w:color w:val="000000"/>
            <w:spacing w:val="0"/>
            <w:w w:val="100"/>
            <w:sz w:val="24"/>
            <w:szCs w:val="24"/>
            <w:u w:val="single"/>
            <w:lang w:eastAsia="pt-BR"/>
          </w:rPr>
          <w:t>[10]</w:t>
        </w:r>
      </w:hyperlink>
      <w:r w:rsidRPr="007B2D06">
        <w:rPr>
          <w:rFonts w:ascii="Tahoma" w:eastAsia="Times New Roman" w:hAnsi="Tahoma" w:cs="Tahoma"/>
          <w:color w:val="000000"/>
          <w:spacing w:val="0"/>
          <w:w w:val="100"/>
          <w:sz w:val="24"/>
          <w:szCs w:val="24"/>
          <w:lang w:eastAsia="pt-BR"/>
        </w:rPr>
        <w:t> Vendo a boa disposição deles, Paulo e Barnabé “os persuadiram a perseverar na graça de Deus” (v. 43).</w:t>
      </w:r>
    </w:p>
    <w:p w14:paraId="25CE75BA" w14:textId="77777777" w:rsidR="007B2D06" w:rsidRPr="007B2D06" w:rsidRDefault="007B2D06" w:rsidP="007B2D06">
      <w:pPr>
        <w:spacing w:line="240" w:lineRule="auto"/>
        <w:rPr>
          <w:rFonts w:ascii="Tahoma" w:eastAsia="Times New Roman" w:hAnsi="Tahoma" w:cs="Tahoma"/>
          <w:color w:val="000000"/>
          <w:spacing w:val="0"/>
          <w:w w:val="100"/>
          <w:sz w:val="24"/>
          <w:szCs w:val="24"/>
          <w:lang w:eastAsia="pt-BR"/>
        </w:rPr>
      </w:pPr>
    </w:p>
    <w:p w14:paraId="7C871DC9"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No sábado seguinte, os dois missionários retornaram à sinagoga para pregar o evangelho, e uma multidão foi ouvi-los (v. 44). Isso gerou inveja nos judeus, que passaram a contradizer Paulo com blasfêmias (v. 45). Diante dessa rejeição, eles se dirigiram para o outro grupo, formado por gentios tementes a Deus, que já os seguiam desde o sábado anterior (v. 46). A disposição de coração destes era radicalmente diferente daquela apresentada pelos judeus. Eles receberam a mensagem com alegria e creram, porque seus corações já estavam dispostos desde primeira pregação de Paulo naquela sinagoga. Assim, o uso de </w:t>
      </w:r>
      <w:proofErr w:type="spellStart"/>
      <w:r w:rsidRPr="007B2D06">
        <w:rPr>
          <w:rFonts w:ascii="Tahoma" w:eastAsia="Times New Roman" w:hAnsi="Tahoma" w:cs="Tahoma"/>
          <w:b/>
          <w:bCs/>
          <w:i/>
          <w:iCs/>
          <w:color w:val="000000"/>
          <w:spacing w:val="0"/>
          <w:w w:val="100"/>
          <w:sz w:val="24"/>
          <w:szCs w:val="24"/>
          <w:lang w:eastAsia="pt-BR"/>
        </w:rPr>
        <w:t>tetagmenoi</w:t>
      </w:r>
      <w:proofErr w:type="spellEnd"/>
      <w:r w:rsidRPr="007B2D06">
        <w:rPr>
          <w:rFonts w:ascii="Tahoma" w:eastAsia="Times New Roman" w:hAnsi="Tahoma" w:cs="Tahoma"/>
          <w:b/>
          <w:bCs/>
          <w:color w:val="000000"/>
          <w:spacing w:val="0"/>
          <w:w w:val="100"/>
          <w:sz w:val="24"/>
          <w:szCs w:val="24"/>
          <w:lang w:eastAsia="pt-BR"/>
        </w:rPr>
        <w:t> </w:t>
      </w:r>
      <w:r w:rsidRPr="007B2D06">
        <w:rPr>
          <w:rFonts w:ascii="Tahoma" w:eastAsia="Times New Roman" w:hAnsi="Tahoma" w:cs="Tahoma"/>
          <w:color w:val="000000"/>
          <w:spacing w:val="0"/>
          <w:w w:val="100"/>
          <w:sz w:val="24"/>
          <w:szCs w:val="24"/>
          <w:lang w:eastAsia="pt-BR"/>
        </w:rPr>
        <w:t xml:space="preserve">quando interpretado à luz do contexto, favorece a interpretação arminiana, ao contrário do que sugerem Ferreira e </w:t>
      </w:r>
      <w:proofErr w:type="spellStart"/>
      <w:r w:rsidRPr="007B2D06">
        <w:rPr>
          <w:rFonts w:ascii="Tahoma" w:eastAsia="Times New Roman" w:hAnsi="Tahoma" w:cs="Tahoma"/>
          <w:color w:val="000000"/>
          <w:spacing w:val="0"/>
          <w:w w:val="100"/>
          <w:sz w:val="24"/>
          <w:szCs w:val="24"/>
          <w:lang w:eastAsia="pt-BR"/>
        </w:rPr>
        <w:t>Myatt</w:t>
      </w:r>
      <w:proofErr w:type="spellEnd"/>
      <w:r w:rsidRPr="007B2D06">
        <w:rPr>
          <w:rFonts w:ascii="Tahoma" w:eastAsia="Times New Roman" w:hAnsi="Tahoma" w:cs="Tahoma"/>
          <w:color w:val="000000"/>
          <w:spacing w:val="0"/>
          <w:w w:val="100"/>
          <w:sz w:val="24"/>
          <w:szCs w:val="24"/>
          <w:lang w:eastAsia="pt-BR"/>
        </w:rPr>
        <w:t>.</w:t>
      </w:r>
    </w:p>
    <w:p w14:paraId="668E9138"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 xml:space="preserve">Por fim, o teólogo calvinista J. O. </w:t>
      </w:r>
      <w:proofErr w:type="spellStart"/>
      <w:r w:rsidRPr="007B2D06">
        <w:rPr>
          <w:rFonts w:ascii="Tahoma" w:eastAsia="Times New Roman" w:hAnsi="Tahoma" w:cs="Tahoma"/>
          <w:color w:val="000000"/>
          <w:spacing w:val="0"/>
          <w:w w:val="100"/>
          <w:sz w:val="24"/>
          <w:szCs w:val="24"/>
          <w:lang w:eastAsia="pt-BR"/>
        </w:rPr>
        <w:t>Buswell</w:t>
      </w:r>
      <w:proofErr w:type="spellEnd"/>
      <w:r w:rsidRPr="007B2D06">
        <w:rPr>
          <w:rFonts w:ascii="Tahoma" w:eastAsia="Times New Roman" w:hAnsi="Tahoma" w:cs="Tahoma"/>
          <w:color w:val="000000"/>
          <w:spacing w:val="0"/>
          <w:w w:val="100"/>
          <w:sz w:val="24"/>
          <w:szCs w:val="24"/>
          <w:lang w:eastAsia="pt-BR"/>
        </w:rPr>
        <w:t xml:space="preserve"> nega que o versículo se refira à predestinação para a salvação:</w:t>
      </w:r>
    </w:p>
    <w:p w14:paraId="0665EC16" w14:textId="77777777" w:rsidR="007B2D06" w:rsidRPr="007B2D06" w:rsidRDefault="007B2D06" w:rsidP="007B2D06">
      <w:pPr>
        <w:spacing w:after="105" w:line="384" w:lineRule="atLeast"/>
        <w:rPr>
          <w:rFonts w:ascii="Tahoma" w:eastAsia="Times New Roman" w:hAnsi="Tahoma" w:cs="Tahoma"/>
          <w:color w:val="000000"/>
          <w:spacing w:val="0"/>
          <w:w w:val="100"/>
          <w:sz w:val="24"/>
          <w:szCs w:val="24"/>
          <w:lang w:eastAsia="pt-BR"/>
        </w:rPr>
      </w:pPr>
      <w:r w:rsidRPr="007B2D06">
        <w:rPr>
          <w:rFonts w:ascii="Tahoma" w:eastAsia="Times New Roman" w:hAnsi="Tahoma" w:cs="Tahoma"/>
          <w:color w:val="000000"/>
          <w:spacing w:val="0"/>
          <w:w w:val="100"/>
          <w:sz w:val="24"/>
          <w:szCs w:val="24"/>
          <w:lang w:eastAsia="pt-BR"/>
        </w:rPr>
        <w:t>Na verdade, as palavras de Atos 13.48, 49 não são necessariamente qualquer referência à doutrina do decreto eterno de Deus sobre a eleição. O particípio passivo</w:t>
      </w:r>
      <w:r w:rsidRPr="007B2D06">
        <w:rPr>
          <w:rFonts w:ascii="Tahoma" w:eastAsia="Times New Roman" w:hAnsi="Tahoma" w:cs="Tahoma"/>
          <w:b/>
          <w:bCs/>
          <w:color w:val="000000"/>
          <w:spacing w:val="0"/>
          <w:w w:val="100"/>
          <w:sz w:val="24"/>
          <w:szCs w:val="24"/>
          <w:lang w:eastAsia="pt-BR"/>
        </w:rPr>
        <w:t> </w:t>
      </w:r>
      <w:proofErr w:type="spellStart"/>
      <w:r w:rsidRPr="007B2D06">
        <w:rPr>
          <w:rFonts w:ascii="Tahoma" w:eastAsia="Times New Roman" w:hAnsi="Tahoma" w:cs="Tahoma"/>
          <w:b/>
          <w:bCs/>
          <w:i/>
          <w:iCs/>
          <w:color w:val="000000"/>
          <w:spacing w:val="0"/>
          <w:w w:val="100"/>
          <w:sz w:val="24"/>
          <w:szCs w:val="24"/>
          <w:lang w:eastAsia="pt-BR"/>
        </w:rPr>
        <w:t>tetagmenoi</w:t>
      </w:r>
      <w:proofErr w:type="spellEnd"/>
      <w:r w:rsidRPr="007B2D06">
        <w:rPr>
          <w:rFonts w:ascii="Tahoma" w:eastAsia="Times New Roman" w:hAnsi="Tahoma" w:cs="Tahoma"/>
          <w:color w:val="000000"/>
          <w:spacing w:val="0"/>
          <w:w w:val="100"/>
          <w:sz w:val="24"/>
          <w:szCs w:val="24"/>
          <w:lang w:eastAsia="pt-BR"/>
        </w:rPr>
        <w:t> pode simplesmente significar ‘pronto’, e podemos muito bem ler: ‘Todos os que foram preparados para a vida eterna, creram’.</w:t>
      </w:r>
      <w:hyperlink r:id="rId14" w:anchor="_ftn11" w:tgtFrame="_blank" w:history="1">
        <w:r w:rsidRPr="007B2D06">
          <w:rPr>
            <w:rFonts w:ascii="Tahoma" w:eastAsia="Times New Roman" w:hAnsi="Tahoma" w:cs="Tahoma"/>
            <w:color w:val="000000"/>
            <w:spacing w:val="0"/>
            <w:w w:val="100"/>
            <w:sz w:val="24"/>
            <w:szCs w:val="24"/>
            <w:u w:val="single"/>
            <w:lang w:eastAsia="pt-BR"/>
          </w:rPr>
          <w:t>[11]</w:t>
        </w:r>
      </w:hyperlink>
    </w:p>
    <w:p w14:paraId="0F1EBA33" w14:textId="77777777" w:rsidR="007B2D06" w:rsidRPr="007B2D06" w:rsidRDefault="007B2D06" w:rsidP="007B2D06">
      <w:pPr>
        <w:spacing w:line="240" w:lineRule="auto"/>
        <w:rPr>
          <w:rFonts w:ascii="Tahoma" w:eastAsia="Times New Roman" w:hAnsi="Tahoma" w:cs="Tahoma"/>
          <w:color w:val="000000"/>
          <w:spacing w:val="0"/>
          <w:w w:val="100"/>
          <w:sz w:val="19"/>
          <w:szCs w:val="19"/>
          <w:lang w:eastAsia="pt-BR"/>
        </w:rPr>
      </w:pPr>
      <w:r w:rsidRPr="007B2D06">
        <w:rPr>
          <w:rFonts w:ascii="Tahoma" w:eastAsia="Times New Roman" w:hAnsi="Tahoma" w:cs="Tahoma"/>
          <w:color w:val="000000"/>
          <w:spacing w:val="0"/>
          <w:w w:val="100"/>
          <w:sz w:val="19"/>
          <w:szCs w:val="19"/>
          <w:lang w:eastAsia="pt-BR"/>
        </w:rPr>
        <w:t> </w:t>
      </w:r>
    </w:p>
    <w:p w14:paraId="28D9DE77" w14:textId="77777777" w:rsidR="007B2D06" w:rsidRPr="007B2D06" w:rsidRDefault="007B2D06" w:rsidP="007B2D06">
      <w:pPr>
        <w:spacing w:line="240" w:lineRule="auto"/>
        <w:rPr>
          <w:rFonts w:ascii="Tahoma" w:eastAsia="Times New Roman" w:hAnsi="Tahoma" w:cs="Tahoma"/>
          <w:color w:val="000000"/>
          <w:spacing w:val="0"/>
          <w:w w:val="100"/>
          <w:sz w:val="19"/>
          <w:szCs w:val="19"/>
          <w:lang w:eastAsia="pt-BR"/>
        </w:rPr>
      </w:pPr>
      <w:r w:rsidRPr="007B2D06">
        <w:rPr>
          <w:rFonts w:ascii="Tahoma" w:eastAsia="Times New Roman" w:hAnsi="Tahoma" w:cs="Tahoma"/>
          <w:color w:val="000000"/>
          <w:spacing w:val="0"/>
          <w:w w:val="100"/>
          <w:sz w:val="19"/>
          <w:szCs w:val="19"/>
          <w:lang w:eastAsia="pt-BR"/>
        </w:rPr>
        <w:t> </w:t>
      </w:r>
    </w:p>
    <w:p w14:paraId="49384DF3" w14:textId="77777777" w:rsidR="007B2D06" w:rsidRPr="007B2D06" w:rsidRDefault="007B2D06" w:rsidP="007B2D06">
      <w:pPr>
        <w:spacing w:line="240" w:lineRule="auto"/>
        <w:rPr>
          <w:rFonts w:ascii="Tahoma" w:eastAsia="Times New Roman" w:hAnsi="Tahoma" w:cs="Tahoma"/>
          <w:color w:val="000000"/>
          <w:spacing w:val="0"/>
          <w:w w:val="100"/>
          <w:sz w:val="19"/>
          <w:szCs w:val="19"/>
          <w:lang w:eastAsia="pt-BR"/>
        </w:rPr>
      </w:pPr>
      <w:r w:rsidRPr="007B2D06">
        <w:rPr>
          <w:rFonts w:ascii="Tahoma" w:eastAsia="Times New Roman" w:hAnsi="Tahoma" w:cs="Tahoma"/>
          <w:color w:val="000000"/>
          <w:spacing w:val="0"/>
          <w:w w:val="100"/>
          <w:sz w:val="19"/>
          <w:szCs w:val="19"/>
          <w:lang w:eastAsia="pt-BR"/>
        </w:rPr>
        <w:t>Fonte: TITILLO, Thiago. Eleição Condicional. 1. ed. São Paulo: Reflexão, 2015, pp. 71-75.</w:t>
      </w:r>
      <w:r w:rsidRPr="007B2D06">
        <w:rPr>
          <w:rFonts w:ascii="Tahoma" w:eastAsia="Times New Roman" w:hAnsi="Tahoma" w:cs="Tahoma"/>
          <w:color w:val="000000"/>
          <w:spacing w:val="0"/>
          <w:w w:val="100"/>
          <w:sz w:val="19"/>
          <w:szCs w:val="19"/>
          <w:lang w:eastAsia="pt-BR"/>
        </w:rPr>
        <w:br w:type="textWrapping" w:clear="all"/>
      </w:r>
    </w:p>
    <w:p w14:paraId="10135180" w14:textId="77777777" w:rsidR="007B2D06" w:rsidRPr="007B2D06" w:rsidRDefault="007B2D06" w:rsidP="007B2D06">
      <w:pPr>
        <w:spacing w:line="240" w:lineRule="auto"/>
        <w:rPr>
          <w:rFonts w:ascii="Tahoma" w:eastAsia="Times New Roman" w:hAnsi="Tahoma" w:cs="Tahoma"/>
          <w:color w:val="000000"/>
          <w:spacing w:val="0"/>
          <w:w w:val="100"/>
          <w:sz w:val="19"/>
          <w:szCs w:val="19"/>
          <w:lang w:eastAsia="pt-BR"/>
        </w:rPr>
      </w:pPr>
      <w:r w:rsidRPr="007B2D06">
        <w:rPr>
          <w:rFonts w:ascii="Tahoma" w:eastAsia="Times New Roman" w:hAnsi="Tahoma" w:cs="Tahoma"/>
          <w:color w:val="000000"/>
          <w:spacing w:val="0"/>
          <w:w w:val="100"/>
          <w:sz w:val="19"/>
          <w:szCs w:val="19"/>
          <w:lang w:eastAsia="pt-BR"/>
        </w:rPr>
        <w:pict w14:anchorId="4914F965">
          <v:rect id="_x0000_i1025" style="width:64.95pt;height:.75pt" o:hrpct="330" o:hrstd="t" o:hr="t" fillcolor="#a0a0a0" stroked="f"/>
        </w:pict>
      </w:r>
    </w:p>
    <w:p w14:paraId="502A5665"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15" w:anchor="_ftnref1" w:tgtFrame="_blank" w:history="1">
        <w:r w:rsidRPr="007B2D06">
          <w:rPr>
            <w:rFonts w:ascii="Tahoma" w:eastAsia="Times New Roman" w:hAnsi="Tahoma" w:cs="Tahoma"/>
            <w:color w:val="000000"/>
            <w:spacing w:val="0"/>
            <w:w w:val="100"/>
            <w:sz w:val="19"/>
            <w:szCs w:val="19"/>
            <w:u w:val="single"/>
            <w:lang w:val="en-CA" w:eastAsia="pt-BR"/>
          </w:rPr>
          <w:t>[1]</w:t>
        </w:r>
      </w:hyperlink>
      <w:r w:rsidRPr="007B2D06">
        <w:rPr>
          <w:rFonts w:ascii="Tahoma" w:eastAsia="Times New Roman" w:hAnsi="Tahoma" w:cs="Tahoma"/>
          <w:color w:val="000000"/>
          <w:spacing w:val="0"/>
          <w:w w:val="100"/>
          <w:sz w:val="19"/>
          <w:szCs w:val="19"/>
          <w:lang w:val="en-CA" w:eastAsia="pt-BR"/>
        </w:rPr>
        <w:t> PINK, 2002, pp. 53-54.</w:t>
      </w:r>
    </w:p>
    <w:p w14:paraId="034131B1"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16" w:anchor="_ftnref2" w:tgtFrame="_blank" w:history="1">
        <w:r w:rsidRPr="007B2D06">
          <w:rPr>
            <w:rFonts w:ascii="Tahoma" w:eastAsia="Times New Roman" w:hAnsi="Tahoma" w:cs="Tahoma"/>
            <w:color w:val="000000"/>
            <w:spacing w:val="0"/>
            <w:w w:val="100"/>
            <w:sz w:val="19"/>
            <w:szCs w:val="19"/>
            <w:u w:val="single"/>
            <w:lang w:val="en-CA" w:eastAsia="pt-BR"/>
          </w:rPr>
          <w:t>[2]</w:t>
        </w:r>
      </w:hyperlink>
      <w:r w:rsidRPr="007B2D06">
        <w:rPr>
          <w:rFonts w:ascii="Tahoma" w:eastAsia="Times New Roman" w:hAnsi="Tahoma" w:cs="Tahoma"/>
          <w:color w:val="000000"/>
          <w:spacing w:val="0"/>
          <w:w w:val="100"/>
          <w:sz w:val="19"/>
          <w:szCs w:val="19"/>
          <w:lang w:val="en-CA" w:eastAsia="pt-BR"/>
        </w:rPr>
        <w:t> KITTEL; FRIEDRICH</w:t>
      </w:r>
      <w:r w:rsidRPr="007B2D06">
        <w:rPr>
          <w:rFonts w:ascii="Tahoma" w:eastAsia="Times New Roman" w:hAnsi="Tahoma" w:cs="Tahoma"/>
          <w:i/>
          <w:iCs/>
          <w:color w:val="000000"/>
          <w:spacing w:val="0"/>
          <w:w w:val="100"/>
          <w:sz w:val="19"/>
          <w:szCs w:val="19"/>
          <w:lang w:val="en-CA" w:eastAsia="pt-BR"/>
        </w:rPr>
        <w:t>,</w:t>
      </w:r>
      <w:r w:rsidRPr="007B2D06">
        <w:rPr>
          <w:rFonts w:ascii="Tahoma" w:eastAsia="Times New Roman" w:hAnsi="Tahoma" w:cs="Tahoma"/>
          <w:color w:val="000000"/>
          <w:spacing w:val="0"/>
          <w:w w:val="100"/>
          <w:sz w:val="19"/>
          <w:szCs w:val="19"/>
          <w:lang w:val="en-CA" w:eastAsia="pt-BR"/>
        </w:rPr>
        <w:t> 2013b, p. 548.</w:t>
      </w:r>
    </w:p>
    <w:p w14:paraId="771C1456"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17" w:anchor="_ftnref3" w:tgtFrame="_blank" w:history="1">
        <w:r w:rsidRPr="007B2D06">
          <w:rPr>
            <w:rFonts w:ascii="Tahoma" w:eastAsia="Times New Roman" w:hAnsi="Tahoma" w:cs="Tahoma"/>
            <w:color w:val="000000"/>
            <w:spacing w:val="0"/>
            <w:w w:val="100"/>
            <w:sz w:val="19"/>
            <w:szCs w:val="19"/>
            <w:u w:val="single"/>
            <w:lang w:val="en-CA" w:eastAsia="pt-BR"/>
          </w:rPr>
          <w:t>[3]</w:t>
        </w:r>
      </w:hyperlink>
      <w:r w:rsidRPr="007B2D06">
        <w:rPr>
          <w:rFonts w:ascii="Tahoma" w:eastAsia="Times New Roman" w:hAnsi="Tahoma" w:cs="Tahoma"/>
          <w:color w:val="000000"/>
          <w:spacing w:val="0"/>
          <w:w w:val="100"/>
          <w:sz w:val="19"/>
          <w:szCs w:val="19"/>
          <w:lang w:val="en-CA" w:eastAsia="pt-BR"/>
        </w:rPr>
        <w:t> ROTHERHAM apud SHANK, op. cit., p. 194.</w:t>
      </w:r>
    </w:p>
    <w:p w14:paraId="0B451A90"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eastAsia="pt-BR"/>
        </w:rPr>
      </w:pPr>
      <w:hyperlink r:id="rId18" w:anchor="_ftnref4" w:tgtFrame="_blank" w:history="1">
        <w:r w:rsidRPr="007B2D06">
          <w:rPr>
            <w:rFonts w:ascii="Tahoma" w:eastAsia="Times New Roman" w:hAnsi="Tahoma" w:cs="Tahoma"/>
            <w:color w:val="000000"/>
            <w:spacing w:val="0"/>
            <w:w w:val="100"/>
            <w:sz w:val="19"/>
            <w:szCs w:val="19"/>
            <w:u w:val="single"/>
            <w:lang w:eastAsia="pt-BR"/>
          </w:rPr>
          <w:t>[4]</w:t>
        </w:r>
      </w:hyperlink>
      <w:r w:rsidRPr="007B2D06">
        <w:rPr>
          <w:rFonts w:ascii="Tahoma" w:eastAsia="Times New Roman" w:hAnsi="Tahoma" w:cs="Tahoma"/>
          <w:color w:val="000000"/>
          <w:spacing w:val="0"/>
          <w:w w:val="100"/>
          <w:sz w:val="19"/>
          <w:szCs w:val="19"/>
          <w:lang w:eastAsia="pt-BR"/>
        </w:rPr>
        <w:t> FERREIRA; MYATT, op. cit., p. 750, nota de rodapé 152.</w:t>
      </w:r>
    </w:p>
    <w:p w14:paraId="7518BF54"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19" w:anchor="_ftnref5" w:tgtFrame="_blank" w:history="1">
        <w:r w:rsidRPr="007B2D06">
          <w:rPr>
            <w:rFonts w:ascii="Tahoma" w:eastAsia="Times New Roman" w:hAnsi="Tahoma" w:cs="Tahoma"/>
            <w:color w:val="000000"/>
            <w:spacing w:val="0"/>
            <w:w w:val="100"/>
            <w:sz w:val="19"/>
            <w:szCs w:val="19"/>
            <w:u w:val="single"/>
            <w:lang w:val="en-CA" w:eastAsia="pt-BR"/>
          </w:rPr>
          <w:t>[5]</w:t>
        </w:r>
      </w:hyperlink>
      <w:r w:rsidRPr="007B2D06">
        <w:rPr>
          <w:rFonts w:ascii="Tahoma" w:eastAsia="Times New Roman" w:hAnsi="Tahoma" w:cs="Tahoma"/>
          <w:color w:val="000000"/>
          <w:spacing w:val="0"/>
          <w:w w:val="100"/>
          <w:sz w:val="19"/>
          <w:szCs w:val="19"/>
          <w:lang w:val="en-CA" w:eastAsia="pt-BR"/>
        </w:rPr>
        <w:t> SHANK, op. cit., p. 194.</w:t>
      </w:r>
    </w:p>
    <w:p w14:paraId="5171027C"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20" w:anchor="_ftnref6" w:tgtFrame="_blank" w:history="1">
        <w:r w:rsidRPr="007B2D06">
          <w:rPr>
            <w:rFonts w:ascii="Tahoma" w:eastAsia="Times New Roman" w:hAnsi="Tahoma" w:cs="Tahoma"/>
            <w:color w:val="000000"/>
            <w:spacing w:val="0"/>
            <w:w w:val="100"/>
            <w:sz w:val="19"/>
            <w:szCs w:val="19"/>
            <w:u w:val="single"/>
            <w:lang w:val="en-CA" w:eastAsia="pt-BR"/>
          </w:rPr>
          <w:t>[6]</w:t>
        </w:r>
      </w:hyperlink>
      <w:r w:rsidRPr="007B2D06">
        <w:rPr>
          <w:rFonts w:ascii="Tahoma" w:eastAsia="Times New Roman" w:hAnsi="Tahoma" w:cs="Tahoma"/>
          <w:color w:val="000000"/>
          <w:spacing w:val="0"/>
          <w:w w:val="100"/>
          <w:sz w:val="19"/>
          <w:szCs w:val="19"/>
          <w:lang w:val="en-CA" w:eastAsia="pt-BR"/>
        </w:rPr>
        <w:t> BLOOMFIELD apud SHANK, ibid., p. 195.</w:t>
      </w:r>
    </w:p>
    <w:p w14:paraId="77792A62"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21" w:anchor="_ftnref7" w:tgtFrame="_blank" w:history="1">
        <w:r w:rsidRPr="007B2D06">
          <w:rPr>
            <w:rFonts w:ascii="Tahoma" w:eastAsia="Times New Roman" w:hAnsi="Tahoma" w:cs="Tahoma"/>
            <w:color w:val="000000"/>
            <w:spacing w:val="0"/>
            <w:w w:val="100"/>
            <w:sz w:val="19"/>
            <w:szCs w:val="19"/>
            <w:u w:val="single"/>
            <w:lang w:val="en-CA" w:eastAsia="pt-BR"/>
          </w:rPr>
          <w:t>[7]</w:t>
        </w:r>
      </w:hyperlink>
      <w:r w:rsidRPr="007B2D06">
        <w:rPr>
          <w:rFonts w:ascii="Tahoma" w:eastAsia="Times New Roman" w:hAnsi="Tahoma" w:cs="Tahoma"/>
          <w:color w:val="000000"/>
          <w:spacing w:val="0"/>
          <w:w w:val="100"/>
          <w:sz w:val="19"/>
          <w:szCs w:val="19"/>
          <w:lang w:val="en-CA" w:eastAsia="pt-BR"/>
        </w:rPr>
        <w:t> ALFORD apud SHANK, ibid., p. 192.</w:t>
      </w:r>
    </w:p>
    <w:p w14:paraId="7E5BDB8C"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val="en-CA" w:eastAsia="pt-BR"/>
        </w:rPr>
      </w:pPr>
      <w:hyperlink r:id="rId22" w:anchor="_ftnref8" w:tgtFrame="_blank" w:history="1">
        <w:r w:rsidRPr="007B2D06">
          <w:rPr>
            <w:rFonts w:ascii="Tahoma" w:eastAsia="Times New Roman" w:hAnsi="Tahoma" w:cs="Tahoma"/>
            <w:color w:val="000000"/>
            <w:spacing w:val="0"/>
            <w:w w:val="100"/>
            <w:sz w:val="19"/>
            <w:szCs w:val="19"/>
            <w:u w:val="single"/>
            <w:lang w:val="en-CA" w:eastAsia="pt-BR"/>
          </w:rPr>
          <w:t>[8]</w:t>
        </w:r>
      </w:hyperlink>
      <w:r w:rsidRPr="007B2D06">
        <w:rPr>
          <w:rFonts w:ascii="Tahoma" w:eastAsia="Times New Roman" w:hAnsi="Tahoma" w:cs="Tahoma"/>
          <w:color w:val="000000"/>
          <w:spacing w:val="0"/>
          <w:w w:val="100"/>
          <w:sz w:val="19"/>
          <w:szCs w:val="19"/>
          <w:lang w:val="en-CA" w:eastAsia="pt-BR"/>
        </w:rPr>
        <w:t> SHANK, Ibid, pp. 192-193.</w:t>
      </w:r>
    </w:p>
    <w:p w14:paraId="25028412"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eastAsia="pt-BR"/>
        </w:rPr>
      </w:pPr>
      <w:hyperlink r:id="rId23" w:anchor="_ftnref9" w:tgtFrame="_blank" w:history="1">
        <w:r w:rsidRPr="007B2D06">
          <w:rPr>
            <w:rFonts w:ascii="Tahoma" w:eastAsia="Times New Roman" w:hAnsi="Tahoma" w:cs="Tahoma"/>
            <w:color w:val="000000"/>
            <w:spacing w:val="0"/>
            <w:w w:val="100"/>
            <w:sz w:val="19"/>
            <w:szCs w:val="19"/>
            <w:u w:val="single"/>
            <w:lang w:val="en-CA" w:eastAsia="pt-BR"/>
          </w:rPr>
          <w:t>[9]</w:t>
        </w:r>
      </w:hyperlink>
      <w:r w:rsidRPr="007B2D06">
        <w:rPr>
          <w:rFonts w:ascii="Tahoma" w:eastAsia="Times New Roman" w:hAnsi="Tahoma" w:cs="Tahoma"/>
          <w:color w:val="000000"/>
          <w:spacing w:val="0"/>
          <w:w w:val="100"/>
          <w:sz w:val="19"/>
          <w:szCs w:val="19"/>
          <w:lang w:val="en-CA" w:eastAsia="pt-BR"/>
        </w:rPr>
        <w:t> </w:t>
      </w:r>
      <w:proofErr w:type="spellStart"/>
      <w:r w:rsidRPr="007B2D06">
        <w:rPr>
          <w:rFonts w:ascii="Tahoma" w:eastAsia="Times New Roman" w:hAnsi="Tahoma" w:cs="Tahoma"/>
          <w:color w:val="000000"/>
          <w:spacing w:val="0"/>
          <w:w w:val="100"/>
          <w:sz w:val="19"/>
          <w:szCs w:val="19"/>
          <w:lang w:val="en-CA" w:eastAsia="pt-BR"/>
        </w:rPr>
        <w:t>McGARVEY</w:t>
      </w:r>
      <w:proofErr w:type="spellEnd"/>
      <w:r w:rsidRPr="007B2D06">
        <w:rPr>
          <w:rFonts w:ascii="Tahoma" w:eastAsia="Times New Roman" w:hAnsi="Tahoma" w:cs="Tahoma"/>
          <w:color w:val="000000"/>
          <w:spacing w:val="0"/>
          <w:w w:val="100"/>
          <w:sz w:val="19"/>
          <w:szCs w:val="19"/>
          <w:lang w:val="en-CA" w:eastAsia="pt-BR"/>
        </w:rPr>
        <w:t>, John William. </w:t>
      </w:r>
      <w:r w:rsidRPr="007B2D06">
        <w:rPr>
          <w:rFonts w:ascii="Tahoma" w:eastAsia="Times New Roman" w:hAnsi="Tahoma" w:cs="Tahoma"/>
          <w:i/>
          <w:iCs/>
          <w:color w:val="000000"/>
          <w:spacing w:val="0"/>
          <w:w w:val="100"/>
          <w:sz w:val="19"/>
          <w:szCs w:val="19"/>
          <w:lang w:eastAsia="pt-BR"/>
        </w:rPr>
        <w:t>At 13.48</w:t>
      </w:r>
      <w:r w:rsidRPr="007B2D06">
        <w:rPr>
          <w:rFonts w:ascii="Tahoma" w:eastAsia="Times New Roman" w:hAnsi="Tahoma" w:cs="Tahoma"/>
          <w:color w:val="000000"/>
          <w:spacing w:val="0"/>
          <w:w w:val="100"/>
          <w:sz w:val="19"/>
          <w:szCs w:val="19"/>
          <w:lang w:eastAsia="pt-BR"/>
        </w:rPr>
        <w:t xml:space="preserve">. Tradução: </w:t>
      </w:r>
      <w:proofErr w:type="spellStart"/>
      <w:r w:rsidRPr="007B2D06">
        <w:rPr>
          <w:rFonts w:ascii="Tahoma" w:eastAsia="Times New Roman" w:hAnsi="Tahoma" w:cs="Tahoma"/>
          <w:color w:val="000000"/>
          <w:spacing w:val="0"/>
          <w:w w:val="100"/>
          <w:sz w:val="19"/>
          <w:szCs w:val="19"/>
          <w:lang w:eastAsia="pt-BR"/>
        </w:rPr>
        <w:t>Cloves</w:t>
      </w:r>
      <w:proofErr w:type="spellEnd"/>
      <w:r w:rsidRPr="007B2D06">
        <w:rPr>
          <w:rFonts w:ascii="Tahoma" w:eastAsia="Times New Roman" w:hAnsi="Tahoma" w:cs="Tahoma"/>
          <w:color w:val="000000"/>
          <w:spacing w:val="0"/>
          <w:w w:val="100"/>
          <w:sz w:val="19"/>
          <w:szCs w:val="19"/>
          <w:lang w:eastAsia="pt-BR"/>
        </w:rPr>
        <w:t xml:space="preserve"> Rocha dos Santos. Disponível em: &lt;</w:t>
      </w:r>
      <w:hyperlink r:id="rId24" w:tgtFrame="_blank" w:history="1">
        <w:r w:rsidRPr="007B2D06">
          <w:rPr>
            <w:rFonts w:ascii="Tahoma" w:eastAsia="Times New Roman" w:hAnsi="Tahoma" w:cs="Tahoma"/>
            <w:color w:val="1155CC"/>
            <w:spacing w:val="0"/>
            <w:w w:val="100"/>
            <w:sz w:val="19"/>
            <w:szCs w:val="19"/>
            <w:u w:val="single"/>
            <w:lang w:eastAsia="pt-BR"/>
          </w:rPr>
          <w:t>www.arminianismo.com</w:t>
        </w:r>
      </w:hyperlink>
      <w:r w:rsidRPr="007B2D06">
        <w:rPr>
          <w:rFonts w:ascii="Tahoma" w:eastAsia="Times New Roman" w:hAnsi="Tahoma" w:cs="Tahoma"/>
          <w:color w:val="000000"/>
          <w:spacing w:val="0"/>
          <w:w w:val="100"/>
          <w:sz w:val="19"/>
          <w:szCs w:val="19"/>
          <w:lang w:eastAsia="pt-BR"/>
        </w:rPr>
        <w:t>&gt; Acesso em 25 de agosto de 2015.</w:t>
      </w:r>
    </w:p>
    <w:p w14:paraId="6C9163E7"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eastAsia="pt-BR"/>
        </w:rPr>
      </w:pPr>
      <w:hyperlink r:id="rId25" w:anchor="_ftnref10" w:tgtFrame="_blank" w:history="1">
        <w:r w:rsidRPr="007B2D06">
          <w:rPr>
            <w:rFonts w:ascii="Tahoma" w:eastAsia="Times New Roman" w:hAnsi="Tahoma" w:cs="Tahoma"/>
            <w:color w:val="000000"/>
            <w:spacing w:val="0"/>
            <w:w w:val="100"/>
            <w:sz w:val="19"/>
            <w:szCs w:val="19"/>
            <w:u w:val="single"/>
            <w:lang w:eastAsia="pt-BR"/>
          </w:rPr>
          <w:t>[10]</w:t>
        </w:r>
      </w:hyperlink>
      <w:r w:rsidRPr="007B2D06">
        <w:rPr>
          <w:rFonts w:ascii="Tahoma" w:eastAsia="Times New Roman" w:hAnsi="Tahoma" w:cs="Tahoma"/>
          <w:color w:val="000000"/>
          <w:spacing w:val="0"/>
          <w:w w:val="100"/>
          <w:sz w:val="19"/>
          <w:szCs w:val="19"/>
          <w:lang w:eastAsia="pt-BR"/>
        </w:rPr>
        <w:t> Cornélio era um “homem reto e temente a Deus” antes mesmo de ouvir a mensagem evangélica de Pedro (10.22).</w:t>
      </w:r>
    </w:p>
    <w:bookmarkStart w:id="1" w:name="m_-7955750025644941458_m_741028030148347"/>
    <w:p w14:paraId="20B28C0E" w14:textId="77777777" w:rsidR="007B2D06" w:rsidRPr="007B2D06" w:rsidRDefault="007B2D06" w:rsidP="007B2D06">
      <w:pPr>
        <w:spacing w:after="105" w:line="384" w:lineRule="atLeast"/>
        <w:rPr>
          <w:rFonts w:ascii="Tahoma" w:eastAsia="Times New Roman" w:hAnsi="Tahoma" w:cs="Tahoma"/>
          <w:color w:val="000000"/>
          <w:spacing w:val="0"/>
          <w:w w:val="100"/>
          <w:sz w:val="19"/>
          <w:szCs w:val="19"/>
          <w:lang w:eastAsia="pt-BR"/>
        </w:rPr>
      </w:pPr>
      <w:r w:rsidRPr="007B2D06">
        <w:rPr>
          <w:rFonts w:ascii="Tahoma" w:eastAsia="Times New Roman" w:hAnsi="Tahoma" w:cs="Tahoma"/>
          <w:color w:val="000000"/>
          <w:spacing w:val="0"/>
          <w:w w:val="100"/>
          <w:sz w:val="19"/>
          <w:szCs w:val="19"/>
          <w:lang w:eastAsia="pt-BR"/>
        </w:rPr>
        <w:fldChar w:fldCharType="begin"/>
      </w:r>
      <w:r w:rsidRPr="007B2D06">
        <w:rPr>
          <w:rFonts w:ascii="Tahoma" w:eastAsia="Times New Roman" w:hAnsi="Tahoma" w:cs="Tahoma"/>
          <w:color w:val="000000"/>
          <w:spacing w:val="0"/>
          <w:w w:val="100"/>
          <w:sz w:val="19"/>
          <w:szCs w:val="19"/>
          <w:lang w:eastAsia="pt-BR"/>
        </w:rPr>
        <w:instrText xml:space="preserve"> HYPERLINK "https://graca-livre.webnode.com/" \l "_ftnref11" \o "" \t "_blank" </w:instrText>
      </w:r>
      <w:r w:rsidRPr="007B2D06">
        <w:rPr>
          <w:rFonts w:ascii="Tahoma" w:eastAsia="Times New Roman" w:hAnsi="Tahoma" w:cs="Tahoma"/>
          <w:color w:val="000000"/>
          <w:spacing w:val="0"/>
          <w:w w:val="100"/>
          <w:sz w:val="19"/>
          <w:szCs w:val="19"/>
          <w:lang w:eastAsia="pt-BR"/>
        </w:rPr>
        <w:fldChar w:fldCharType="separate"/>
      </w:r>
      <w:r w:rsidRPr="007B2D06">
        <w:rPr>
          <w:rFonts w:ascii="Tahoma" w:eastAsia="Times New Roman" w:hAnsi="Tahoma" w:cs="Tahoma"/>
          <w:color w:val="000000"/>
          <w:spacing w:val="0"/>
          <w:w w:val="100"/>
          <w:sz w:val="19"/>
          <w:szCs w:val="19"/>
          <w:u w:val="single"/>
          <w:lang w:eastAsia="pt-BR"/>
        </w:rPr>
        <w:t>[11]</w:t>
      </w:r>
      <w:r w:rsidRPr="007B2D06">
        <w:rPr>
          <w:rFonts w:ascii="Tahoma" w:eastAsia="Times New Roman" w:hAnsi="Tahoma" w:cs="Tahoma"/>
          <w:color w:val="000000"/>
          <w:spacing w:val="0"/>
          <w:w w:val="100"/>
          <w:sz w:val="19"/>
          <w:szCs w:val="19"/>
          <w:lang w:eastAsia="pt-BR"/>
        </w:rPr>
        <w:fldChar w:fldCharType="end"/>
      </w:r>
      <w:bookmarkEnd w:id="1"/>
      <w:r w:rsidRPr="007B2D06">
        <w:rPr>
          <w:rFonts w:ascii="Tahoma" w:eastAsia="Times New Roman" w:hAnsi="Tahoma" w:cs="Tahoma"/>
          <w:color w:val="000000"/>
          <w:spacing w:val="0"/>
          <w:w w:val="100"/>
          <w:sz w:val="19"/>
          <w:szCs w:val="19"/>
          <w:lang w:eastAsia="pt-BR"/>
        </w:rPr>
        <w:t> BUSWELL apud GEISLER, 2001, p. 46.</w:t>
      </w:r>
    </w:p>
    <w:p w14:paraId="781D994E" w14:textId="77777777"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6"/>
    <w:rsid w:val="000B6EF7"/>
    <w:rsid w:val="000C656D"/>
    <w:rsid w:val="004300E4"/>
    <w:rsid w:val="00447B1D"/>
    <w:rsid w:val="004B4CF0"/>
    <w:rsid w:val="00771F88"/>
    <w:rsid w:val="007B2D06"/>
    <w:rsid w:val="00803B04"/>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C9E9"/>
  <w15:chartTrackingRefBased/>
  <w15:docId w15:val="{130DC4FA-1420-4176-9993-8D8013F7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7B2D06"/>
    <w:pPr>
      <w:jc w:val="center"/>
      <w:outlineLvl w:val="0"/>
    </w:pPr>
    <w:rPr>
      <w:rFonts w:ascii="Tahoma" w:eastAsia="Times New Roman" w:hAnsi="Tahoma" w:cs="Tahoma"/>
      <w:b/>
      <w:bCs/>
      <w:i/>
      <w:color w:val="C00000"/>
      <w:spacing w:val="0"/>
      <w:w w:val="100"/>
      <w:kern w:val="36"/>
      <w:sz w:val="40"/>
      <w:szCs w:val="40"/>
      <w:u w:val="single"/>
      <w:lang w:eastAsia="pt-BR"/>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2D06"/>
    <w:rPr>
      <w:rFonts w:ascii="Tahoma" w:eastAsia="Times New Roman" w:hAnsi="Tahoma" w:cs="Tahoma"/>
      <w:b/>
      <w:bCs/>
      <w:i/>
      <w:color w:val="C00000"/>
      <w:spacing w:val="0"/>
      <w:w w:val="100"/>
      <w:kern w:val="36"/>
      <w:sz w:val="40"/>
      <w:szCs w:val="40"/>
      <w:u w:val="single"/>
      <w:lang w:eastAsia="pt-BR"/>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7B2D06"/>
    <w:rPr>
      <w:color w:val="0000FF"/>
      <w:u w:val="single"/>
    </w:rPr>
  </w:style>
  <w:style w:type="character" w:styleId="nfase">
    <w:name w:val="Emphasis"/>
    <w:basedOn w:val="Fontepargpadro"/>
    <w:uiPriority w:val="20"/>
    <w:qFormat/>
    <w:rsid w:val="007B2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2336">
      <w:bodyDiv w:val="1"/>
      <w:marLeft w:val="0"/>
      <w:marRight w:val="0"/>
      <w:marTop w:val="0"/>
      <w:marBottom w:val="0"/>
      <w:divBdr>
        <w:top w:val="none" w:sz="0" w:space="0" w:color="auto"/>
        <w:left w:val="none" w:sz="0" w:space="0" w:color="auto"/>
        <w:bottom w:val="none" w:sz="0" w:space="0" w:color="auto"/>
        <w:right w:val="none" w:sz="0" w:space="0" w:color="auto"/>
      </w:divBdr>
      <w:divsChild>
        <w:div w:id="1505898944">
          <w:marLeft w:val="0"/>
          <w:marRight w:val="0"/>
          <w:marTop w:val="0"/>
          <w:marBottom w:val="105"/>
          <w:divBdr>
            <w:top w:val="none" w:sz="0" w:space="0" w:color="auto"/>
            <w:left w:val="none" w:sz="0" w:space="0" w:color="auto"/>
            <w:bottom w:val="none" w:sz="0" w:space="0" w:color="auto"/>
            <w:right w:val="none" w:sz="0" w:space="0" w:color="auto"/>
          </w:divBdr>
        </w:div>
        <w:div w:id="1480658779">
          <w:marLeft w:val="0"/>
          <w:marRight w:val="0"/>
          <w:marTop w:val="0"/>
          <w:marBottom w:val="0"/>
          <w:divBdr>
            <w:top w:val="none" w:sz="0" w:space="0" w:color="auto"/>
            <w:left w:val="none" w:sz="0" w:space="0" w:color="auto"/>
            <w:bottom w:val="none" w:sz="0" w:space="0" w:color="auto"/>
            <w:right w:val="none" w:sz="0" w:space="0" w:color="auto"/>
          </w:divBdr>
          <w:divsChild>
            <w:div w:id="950934522">
              <w:marLeft w:val="0"/>
              <w:marRight w:val="0"/>
              <w:marTop w:val="0"/>
              <w:marBottom w:val="0"/>
              <w:divBdr>
                <w:top w:val="none" w:sz="0" w:space="0" w:color="auto"/>
                <w:left w:val="none" w:sz="0" w:space="0" w:color="auto"/>
                <w:bottom w:val="none" w:sz="0" w:space="0" w:color="auto"/>
                <w:right w:val="none" w:sz="0" w:space="0" w:color="auto"/>
              </w:divBdr>
            </w:div>
            <w:div w:id="48260983">
              <w:marLeft w:val="0"/>
              <w:marRight w:val="0"/>
              <w:marTop w:val="0"/>
              <w:marBottom w:val="0"/>
              <w:divBdr>
                <w:top w:val="none" w:sz="0" w:space="0" w:color="auto"/>
                <w:left w:val="none" w:sz="0" w:space="0" w:color="auto"/>
                <w:bottom w:val="none" w:sz="0" w:space="0" w:color="auto"/>
                <w:right w:val="none" w:sz="0" w:space="0" w:color="auto"/>
              </w:divBdr>
              <w:divsChild>
                <w:div w:id="1215921674">
                  <w:marLeft w:val="0"/>
                  <w:marRight w:val="0"/>
                  <w:marTop w:val="0"/>
                  <w:marBottom w:val="0"/>
                  <w:divBdr>
                    <w:top w:val="none" w:sz="0" w:space="0" w:color="auto"/>
                    <w:left w:val="none" w:sz="0" w:space="0" w:color="auto"/>
                    <w:bottom w:val="none" w:sz="0" w:space="0" w:color="auto"/>
                    <w:right w:val="none" w:sz="0" w:space="0" w:color="auto"/>
                  </w:divBdr>
                </w:div>
                <w:div w:id="1897737843">
                  <w:marLeft w:val="0"/>
                  <w:marRight w:val="0"/>
                  <w:marTop w:val="0"/>
                  <w:marBottom w:val="0"/>
                  <w:divBdr>
                    <w:top w:val="none" w:sz="0" w:space="0" w:color="auto"/>
                    <w:left w:val="none" w:sz="0" w:space="0" w:color="auto"/>
                    <w:bottom w:val="none" w:sz="0" w:space="0" w:color="auto"/>
                    <w:right w:val="none" w:sz="0" w:space="0" w:color="auto"/>
                  </w:divBdr>
                </w:div>
                <w:div w:id="304507035">
                  <w:marLeft w:val="0"/>
                  <w:marRight w:val="0"/>
                  <w:marTop w:val="0"/>
                  <w:marBottom w:val="0"/>
                  <w:divBdr>
                    <w:top w:val="none" w:sz="0" w:space="0" w:color="auto"/>
                    <w:left w:val="none" w:sz="0" w:space="0" w:color="auto"/>
                    <w:bottom w:val="none" w:sz="0" w:space="0" w:color="auto"/>
                    <w:right w:val="none" w:sz="0" w:space="0" w:color="auto"/>
                  </w:divBdr>
                </w:div>
                <w:div w:id="357316588">
                  <w:marLeft w:val="0"/>
                  <w:marRight w:val="0"/>
                  <w:marTop w:val="0"/>
                  <w:marBottom w:val="0"/>
                  <w:divBdr>
                    <w:top w:val="none" w:sz="0" w:space="0" w:color="auto"/>
                    <w:left w:val="none" w:sz="0" w:space="0" w:color="auto"/>
                    <w:bottom w:val="none" w:sz="0" w:space="0" w:color="auto"/>
                    <w:right w:val="none" w:sz="0" w:space="0" w:color="auto"/>
                  </w:divBdr>
                  <w:divsChild>
                    <w:div w:id="819884968">
                      <w:marLeft w:val="0"/>
                      <w:marRight w:val="0"/>
                      <w:marTop w:val="0"/>
                      <w:marBottom w:val="0"/>
                      <w:divBdr>
                        <w:top w:val="none" w:sz="0" w:space="0" w:color="auto"/>
                        <w:left w:val="none" w:sz="0" w:space="0" w:color="auto"/>
                        <w:bottom w:val="none" w:sz="0" w:space="0" w:color="auto"/>
                        <w:right w:val="none" w:sz="0" w:space="0" w:color="auto"/>
                      </w:divBdr>
                    </w:div>
                    <w:div w:id="654915387">
                      <w:marLeft w:val="0"/>
                      <w:marRight w:val="0"/>
                      <w:marTop w:val="0"/>
                      <w:marBottom w:val="0"/>
                      <w:divBdr>
                        <w:top w:val="none" w:sz="0" w:space="0" w:color="auto"/>
                        <w:left w:val="none" w:sz="0" w:space="0" w:color="auto"/>
                        <w:bottom w:val="none" w:sz="0" w:space="0" w:color="auto"/>
                        <w:right w:val="none" w:sz="0" w:space="0" w:color="auto"/>
                      </w:divBdr>
                    </w:div>
                    <w:div w:id="1665671042">
                      <w:marLeft w:val="0"/>
                      <w:marRight w:val="0"/>
                      <w:marTop w:val="0"/>
                      <w:marBottom w:val="0"/>
                      <w:divBdr>
                        <w:top w:val="none" w:sz="0" w:space="0" w:color="auto"/>
                        <w:left w:val="none" w:sz="0" w:space="0" w:color="auto"/>
                        <w:bottom w:val="none" w:sz="0" w:space="0" w:color="auto"/>
                        <w:right w:val="none" w:sz="0" w:space="0" w:color="auto"/>
                      </w:divBdr>
                    </w:div>
                    <w:div w:id="1504012842">
                      <w:marLeft w:val="0"/>
                      <w:marRight w:val="0"/>
                      <w:marTop w:val="0"/>
                      <w:marBottom w:val="0"/>
                      <w:divBdr>
                        <w:top w:val="none" w:sz="0" w:space="0" w:color="auto"/>
                        <w:left w:val="none" w:sz="0" w:space="0" w:color="auto"/>
                        <w:bottom w:val="none" w:sz="0" w:space="0" w:color="auto"/>
                        <w:right w:val="none" w:sz="0" w:space="0" w:color="auto"/>
                      </w:divBdr>
                    </w:div>
                    <w:div w:id="1979798279">
                      <w:marLeft w:val="0"/>
                      <w:marRight w:val="0"/>
                      <w:marTop w:val="0"/>
                      <w:marBottom w:val="0"/>
                      <w:divBdr>
                        <w:top w:val="none" w:sz="0" w:space="0" w:color="auto"/>
                        <w:left w:val="none" w:sz="0" w:space="0" w:color="auto"/>
                        <w:bottom w:val="none" w:sz="0" w:space="0" w:color="auto"/>
                        <w:right w:val="none" w:sz="0" w:space="0" w:color="auto"/>
                      </w:divBdr>
                    </w:div>
                    <w:div w:id="1689326532">
                      <w:marLeft w:val="0"/>
                      <w:marRight w:val="0"/>
                      <w:marTop w:val="0"/>
                      <w:marBottom w:val="0"/>
                      <w:divBdr>
                        <w:top w:val="none" w:sz="0" w:space="0" w:color="auto"/>
                        <w:left w:val="none" w:sz="0" w:space="0" w:color="auto"/>
                        <w:bottom w:val="none" w:sz="0" w:space="0" w:color="auto"/>
                        <w:right w:val="none" w:sz="0" w:space="0" w:color="auto"/>
                      </w:divBdr>
                    </w:div>
                    <w:div w:id="1334987091">
                      <w:marLeft w:val="0"/>
                      <w:marRight w:val="0"/>
                      <w:marTop w:val="0"/>
                      <w:marBottom w:val="0"/>
                      <w:divBdr>
                        <w:top w:val="none" w:sz="0" w:space="0" w:color="auto"/>
                        <w:left w:val="none" w:sz="0" w:space="0" w:color="auto"/>
                        <w:bottom w:val="none" w:sz="0" w:space="0" w:color="auto"/>
                        <w:right w:val="none" w:sz="0" w:space="0" w:color="auto"/>
                      </w:divBdr>
                    </w:div>
                    <w:div w:id="280455177">
                      <w:marLeft w:val="0"/>
                      <w:marRight w:val="0"/>
                      <w:marTop w:val="0"/>
                      <w:marBottom w:val="0"/>
                      <w:divBdr>
                        <w:top w:val="none" w:sz="0" w:space="0" w:color="auto"/>
                        <w:left w:val="none" w:sz="0" w:space="0" w:color="auto"/>
                        <w:bottom w:val="none" w:sz="0" w:space="0" w:color="auto"/>
                        <w:right w:val="none" w:sz="0" w:space="0" w:color="auto"/>
                      </w:divBdr>
                    </w:div>
                    <w:div w:id="1343388439">
                      <w:marLeft w:val="0"/>
                      <w:marRight w:val="0"/>
                      <w:marTop w:val="0"/>
                      <w:marBottom w:val="0"/>
                      <w:divBdr>
                        <w:top w:val="none" w:sz="0" w:space="0" w:color="auto"/>
                        <w:left w:val="none" w:sz="0" w:space="0" w:color="auto"/>
                        <w:bottom w:val="none" w:sz="0" w:space="0" w:color="auto"/>
                        <w:right w:val="none" w:sz="0" w:space="0" w:color="auto"/>
                      </w:divBdr>
                    </w:div>
                    <w:div w:id="1112089241">
                      <w:marLeft w:val="0"/>
                      <w:marRight w:val="0"/>
                      <w:marTop w:val="0"/>
                      <w:marBottom w:val="0"/>
                      <w:divBdr>
                        <w:top w:val="none" w:sz="0" w:space="0" w:color="auto"/>
                        <w:left w:val="none" w:sz="0" w:space="0" w:color="auto"/>
                        <w:bottom w:val="none" w:sz="0" w:space="0" w:color="auto"/>
                        <w:right w:val="none" w:sz="0" w:space="0" w:color="auto"/>
                      </w:divBdr>
                    </w:div>
                    <w:div w:id="16123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ca-livre.webnode.com/" TargetMode="External"/><Relationship Id="rId13" Type="http://schemas.openxmlformats.org/officeDocument/2006/relationships/hyperlink" Target="https://graca-livre.webnode.com/" TargetMode="External"/><Relationship Id="rId18" Type="http://schemas.openxmlformats.org/officeDocument/2006/relationships/hyperlink" Target="https://graca-livre.webnod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raca-livre.webnode.com/" TargetMode="External"/><Relationship Id="rId7" Type="http://schemas.openxmlformats.org/officeDocument/2006/relationships/hyperlink" Target="https://graca-livre.webnode.com/" TargetMode="External"/><Relationship Id="rId12" Type="http://schemas.openxmlformats.org/officeDocument/2006/relationships/hyperlink" Target="https://graca-livre.webnode.com/" TargetMode="External"/><Relationship Id="rId17" Type="http://schemas.openxmlformats.org/officeDocument/2006/relationships/hyperlink" Target="https://graca-livre.webnode.com/" TargetMode="External"/><Relationship Id="rId25" Type="http://schemas.openxmlformats.org/officeDocument/2006/relationships/hyperlink" Target="https://graca-livre.webnode.com/" TargetMode="External"/><Relationship Id="rId2" Type="http://schemas.openxmlformats.org/officeDocument/2006/relationships/settings" Target="settings.xml"/><Relationship Id="rId16" Type="http://schemas.openxmlformats.org/officeDocument/2006/relationships/hyperlink" Target="https://graca-livre.webnode.com/" TargetMode="External"/><Relationship Id="rId20" Type="http://schemas.openxmlformats.org/officeDocument/2006/relationships/hyperlink" Target="https://graca-livre.webnode.com/" TargetMode="External"/><Relationship Id="rId1" Type="http://schemas.openxmlformats.org/officeDocument/2006/relationships/styles" Target="styles.xml"/><Relationship Id="rId6" Type="http://schemas.openxmlformats.org/officeDocument/2006/relationships/hyperlink" Target="https://graca-livre.webnode.com/" TargetMode="External"/><Relationship Id="rId11" Type="http://schemas.openxmlformats.org/officeDocument/2006/relationships/hyperlink" Target="https://graca-livre.webnode.com/" TargetMode="External"/><Relationship Id="rId24" Type="http://schemas.openxmlformats.org/officeDocument/2006/relationships/hyperlink" Target="http://www.arminianismo.com/" TargetMode="External"/><Relationship Id="rId5" Type="http://schemas.openxmlformats.org/officeDocument/2006/relationships/hyperlink" Target="https://graca-livre.webnode.com/" TargetMode="External"/><Relationship Id="rId15" Type="http://schemas.openxmlformats.org/officeDocument/2006/relationships/hyperlink" Target="https://graca-livre.webnode.com/" TargetMode="External"/><Relationship Id="rId23" Type="http://schemas.openxmlformats.org/officeDocument/2006/relationships/hyperlink" Target="https://graca-livre.webnode.com/" TargetMode="External"/><Relationship Id="rId10" Type="http://schemas.openxmlformats.org/officeDocument/2006/relationships/hyperlink" Target="https://graca-livre.webnode.com/" TargetMode="External"/><Relationship Id="rId19" Type="http://schemas.openxmlformats.org/officeDocument/2006/relationships/hyperlink" Target="https://graca-livre.webnode.com/" TargetMode="External"/><Relationship Id="rId4" Type="http://schemas.openxmlformats.org/officeDocument/2006/relationships/hyperlink" Target="https://graca-livre.webnode.com/" TargetMode="External"/><Relationship Id="rId9" Type="http://schemas.openxmlformats.org/officeDocument/2006/relationships/hyperlink" Target="https://graca-livre.webnode.com/" TargetMode="External"/><Relationship Id="rId14" Type="http://schemas.openxmlformats.org/officeDocument/2006/relationships/hyperlink" Target="https://graca-livre.webnode.com/" TargetMode="External"/><Relationship Id="rId22" Type="http://schemas.openxmlformats.org/officeDocument/2006/relationships/hyperlink" Target="https://graca-livre.webnode.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1736</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2020-02-15T12:34:00Z</dcterms:created>
  <dcterms:modified xsi:type="dcterms:W3CDTF">2020-02-15T12:49:00Z</dcterms:modified>
</cp:coreProperties>
</file>