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79" w:rsidRPr="00284764" w:rsidRDefault="00F36479" w:rsidP="00D65242">
      <w:pPr>
        <w:spacing w:after="0" w:line="240" w:lineRule="auto"/>
        <w:jc w:val="center"/>
        <w:rPr>
          <w:b/>
          <w:sz w:val="28"/>
          <w:szCs w:val="28"/>
          <w:u w:val="single"/>
        </w:rPr>
      </w:pPr>
      <w:r w:rsidRPr="00284764">
        <w:rPr>
          <w:b/>
          <w:sz w:val="28"/>
          <w:szCs w:val="28"/>
          <w:u w:val="single"/>
        </w:rPr>
        <w:t>PENTECOSTALISMO</w:t>
      </w:r>
      <w:r w:rsidR="005447AB">
        <w:rPr>
          <w:b/>
          <w:sz w:val="28"/>
          <w:szCs w:val="28"/>
          <w:u w:val="single"/>
        </w:rPr>
        <w:t xml:space="preserve"> II</w:t>
      </w:r>
    </w:p>
    <w:p w:rsidR="00384BC8" w:rsidRPr="001E3B5E" w:rsidRDefault="00384BC8" w:rsidP="00D65242">
      <w:pPr>
        <w:spacing w:after="0" w:line="240" w:lineRule="auto"/>
        <w:jc w:val="right"/>
        <w:rPr>
          <w:sz w:val="14"/>
          <w:szCs w:val="14"/>
        </w:rPr>
      </w:pPr>
    </w:p>
    <w:p w:rsidR="00F36479" w:rsidRPr="00284764" w:rsidRDefault="00F36479" w:rsidP="00D65242">
      <w:pPr>
        <w:spacing w:after="0" w:line="240" w:lineRule="auto"/>
        <w:jc w:val="right"/>
        <w:rPr>
          <w:sz w:val="12"/>
          <w:szCs w:val="12"/>
        </w:rPr>
      </w:pPr>
      <w:r w:rsidRPr="00284764">
        <w:rPr>
          <w:i/>
          <w:sz w:val="12"/>
          <w:szCs w:val="12"/>
        </w:rPr>
        <w:t>Alexander da Silva Vasconcelos</w:t>
      </w:r>
      <w:r w:rsidRPr="00284764">
        <w:rPr>
          <w:sz w:val="12"/>
          <w:szCs w:val="12"/>
        </w:rPr>
        <w:t>, 10/2007</w:t>
      </w:r>
      <w:r w:rsidR="00EE0604" w:rsidRPr="00284764">
        <w:rPr>
          <w:sz w:val="12"/>
          <w:szCs w:val="12"/>
        </w:rPr>
        <w:t>.</w:t>
      </w:r>
    </w:p>
    <w:p w:rsidR="00EE0604" w:rsidRPr="00284764" w:rsidRDefault="00EE0604" w:rsidP="00D65242">
      <w:pPr>
        <w:spacing w:after="0" w:line="240" w:lineRule="auto"/>
        <w:jc w:val="right"/>
        <w:rPr>
          <w:sz w:val="12"/>
          <w:szCs w:val="12"/>
        </w:rPr>
      </w:pPr>
      <w:r w:rsidRPr="00284764">
        <w:rPr>
          <w:sz w:val="12"/>
          <w:szCs w:val="12"/>
        </w:rPr>
        <w:t>Revisado 2012/2013.</w:t>
      </w:r>
    </w:p>
    <w:p w:rsidR="00F36479" w:rsidRPr="00627B12" w:rsidRDefault="00F36479" w:rsidP="00CD7FD0">
      <w:pPr>
        <w:pStyle w:val="PargrafodaLista"/>
        <w:numPr>
          <w:ilvl w:val="0"/>
          <w:numId w:val="1"/>
        </w:numPr>
        <w:spacing w:after="40" w:line="240" w:lineRule="auto"/>
        <w:ind w:left="568" w:hanging="284"/>
        <w:rPr>
          <w:sz w:val="20"/>
          <w:szCs w:val="20"/>
        </w:rPr>
      </w:pPr>
      <w:r w:rsidRPr="00627B12">
        <w:rPr>
          <w:sz w:val="20"/>
          <w:szCs w:val="20"/>
        </w:rPr>
        <w:t>PREÂMBULO: Deuteronômio 29:29; 30:11-16; Salmo 119:144, 151, 160; II Timóteo 3:14-17; II Pedro 1.</w:t>
      </w:r>
    </w:p>
    <w:p w:rsidR="00034614" w:rsidRPr="00627B12" w:rsidRDefault="005C7260" w:rsidP="00CD7FD0">
      <w:pPr>
        <w:pStyle w:val="PargrafodaLista"/>
        <w:numPr>
          <w:ilvl w:val="0"/>
          <w:numId w:val="1"/>
        </w:numPr>
        <w:spacing w:after="40" w:line="240" w:lineRule="auto"/>
        <w:ind w:left="568" w:hanging="284"/>
        <w:rPr>
          <w:sz w:val="20"/>
          <w:szCs w:val="20"/>
        </w:rPr>
      </w:pPr>
      <w:r w:rsidRPr="00627B12">
        <w:rPr>
          <w:sz w:val="20"/>
          <w:szCs w:val="20"/>
        </w:rPr>
        <w:t>CONCEITO FUNDAMENTAL</w:t>
      </w:r>
      <w:r w:rsidR="00034614" w:rsidRPr="00627B12">
        <w:rPr>
          <w:sz w:val="20"/>
          <w:szCs w:val="20"/>
        </w:rPr>
        <w:t xml:space="preserve">: DOM/DONS </w:t>
      </w:r>
      <w:r w:rsidR="0005293F">
        <w:rPr>
          <w:sz w:val="20"/>
          <w:szCs w:val="20"/>
        </w:rPr>
        <w:t>(</w:t>
      </w:r>
      <w:r w:rsidR="00034614" w:rsidRPr="00627B12">
        <w:rPr>
          <w:sz w:val="20"/>
          <w:szCs w:val="20"/>
        </w:rPr>
        <w:t>Romanos 12:1-10; I Pedro 4:7-11</w:t>
      </w:r>
      <w:r w:rsidR="0005293F">
        <w:rPr>
          <w:sz w:val="20"/>
          <w:szCs w:val="20"/>
        </w:rPr>
        <w:t>)</w:t>
      </w:r>
      <w:r w:rsidR="00034614" w:rsidRPr="00627B12">
        <w:rPr>
          <w:sz w:val="20"/>
          <w:szCs w:val="20"/>
        </w:rPr>
        <w:t>.</w:t>
      </w:r>
    </w:p>
    <w:p w:rsidR="00F36479" w:rsidRPr="00627B12" w:rsidRDefault="00F36479" w:rsidP="00CD7FD0">
      <w:pPr>
        <w:pStyle w:val="PargrafodaLista"/>
        <w:numPr>
          <w:ilvl w:val="0"/>
          <w:numId w:val="1"/>
        </w:numPr>
        <w:spacing w:after="40" w:line="240" w:lineRule="auto"/>
        <w:ind w:left="568" w:hanging="284"/>
        <w:rPr>
          <w:sz w:val="20"/>
          <w:szCs w:val="20"/>
        </w:rPr>
      </w:pPr>
      <w:r w:rsidRPr="00627B12">
        <w:rPr>
          <w:sz w:val="20"/>
          <w:szCs w:val="20"/>
        </w:rPr>
        <w:t xml:space="preserve">TEMAS LIGADOS AO ASSUNTO: Batismo do/com Espírito Santo e </w:t>
      </w:r>
      <w:r w:rsidRPr="00627B12">
        <w:rPr>
          <w:sz w:val="20"/>
          <w:szCs w:val="20"/>
          <w:u w:val="single"/>
        </w:rPr>
        <w:t xml:space="preserve">Manifestação hodierna de dons </w:t>
      </w:r>
      <w:r w:rsidR="00355DA1" w:rsidRPr="00627B12">
        <w:rPr>
          <w:sz w:val="20"/>
          <w:szCs w:val="20"/>
          <w:u w:val="single"/>
        </w:rPr>
        <w:t>extraordinários/</w:t>
      </w:r>
      <w:r w:rsidRPr="00627B12">
        <w:rPr>
          <w:sz w:val="20"/>
          <w:szCs w:val="20"/>
          <w:u w:val="single"/>
        </w:rPr>
        <w:t>sobrenaturais</w:t>
      </w:r>
      <w:r w:rsidRPr="00627B12">
        <w:rPr>
          <w:sz w:val="20"/>
          <w:szCs w:val="20"/>
        </w:rPr>
        <w:t>.</w:t>
      </w:r>
    </w:p>
    <w:p w:rsidR="00284764" w:rsidRPr="00627B12" w:rsidRDefault="00F36479" w:rsidP="00CD7FD0">
      <w:pPr>
        <w:pStyle w:val="PargrafodaLista"/>
        <w:numPr>
          <w:ilvl w:val="0"/>
          <w:numId w:val="1"/>
        </w:numPr>
        <w:spacing w:after="40" w:line="240" w:lineRule="auto"/>
        <w:ind w:left="568" w:hanging="284"/>
        <w:rPr>
          <w:sz w:val="20"/>
          <w:szCs w:val="20"/>
        </w:rPr>
      </w:pPr>
      <w:r w:rsidRPr="00627B12">
        <w:rPr>
          <w:sz w:val="20"/>
          <w:szCs w:val="20"/>
        </w:rPr>
        <w:t>ANTECEDENTES HISTÓRICOS: em todos os períodos da história bíblica em que houve manifestações</w:t>
      </w:r>
      <w:r w:rsidR="001B27AC" w:rsidRPr="00627B12">
        <w:rPr>
          <w:sz w:val="20"/>
          <w:szCs w:val="20"/>
        </w:rPr>
        <w:t xml:space="preserve"> carismáticas sobrenaturais/miraculosas, o propósito de tais foi </w:t>
      </w:r>
      <w:r w:rsidR="00BC4126" w:rsidRPr="00627B12">
        <w:rPr>
          <w:sz w:val="20"/>
          <w:szCs w:val="20"/>
        </w:rPr>
        <w:t>TESTIFICAR/</w:t>
      </w:r>
      <w:r w:rsidR="001B27AC" w:rsidRPr="00627B12">
        <w:rPr>
          <w:sz w:val="20"/>
          <w:szCs w:val="20"/>
        </w:rPr>
        <w:t xml:space="preserve">AUTENTICAR a mensagem como divina e seus mensageiros como enviados autorizados de Deus: Moisés (Êxodo 4); Elias (I Reis 17:22-24); </w:t>
      </w:r>
      <w:r w:rsidR="001B27AC" w:rsidRPr="00627B12">
        <w:rPr>
          <w:sz w:val="20"/>
          <w:szCs w:val="20"/>
          <w:u w:val="single"/>
        </w:rPr>
        <w:t>Jesus (João 10:22-25; 20:31; A</w:t>
      </w:r>
      <w:r w:rsidR="00C46662" w:rsidRPr="00627B12">
        <w:rPr>
          <w:sz w:val="20"/>
          <w:szCs w:val="20"/>
          <w:u w:val="single"/>
        </w:rPr>
        <w:t>t</w:t>
      </w:r>
      <w:r w:rsidR="001B27AC" w:rsidRPr="00627B12">
        <w:rPr>
          <w:sz w:val="20"/>
          <w:szCs w:val="20"/>
          <w:u w:val="single"/>
        </w:rPr>
        <w:t>os 2:22-24, 36)</w:t>
      </w:r>
      <w:r w:rsidR="001B27AC" w:rsidRPr="00627B12">
        <w:rPr>
          <w:sz w:val="20"/>
          <w:szCs w:val="20"/>
        </w:rPr>
        <w:t xml:space="preserve"> – 3 períodos de cerca de 40 anos.</w:t>
      </w:r>
    </w:p>
    <w:p w:rsidR="0093729C" w:rsidRPr="00627B12" w:rsidRDefault="0093729C" w:rsidP="00CD7FD0">
      <w:pPr>
        <w:pStyle w:val="PargrafodaLista"/>
        <w:numPr>
          <w:ilvl w:val="0"/>
          <w:numId w:val="1"/>
        </w:numPr>
        <w:spacing w:after="40" w:line="240" w:lineRule="auto"/>
        <w:ind w:left="568" w:hanging="284"/>
        <w:rPr>
          <w:sz w:val="20"/>
          <w:szCs w:val="20"/>
        </w:rPr>
      </w:pPr>
      <w:r w:rsidRPr="00627B12">
        <w:rPr>
          <w:sz w:val="20"/>
          <w:szCs w:val="20"/>
        </w:rPr>
        <w:t>QUEM MANIFESTAVA: os 12 apóstolos[</w:t>
      </w:r>
      <w:r w:rsidRPr="00627B12">
        <w:rPr>
          <w:sz w:val="20"/>
          <w:szCs w:val="20"/>
          <w:u w:val="single"/>
        </w:rPr>
        <w:t>11 + Judas Iscariotes</w:t>
      </w:r>
      <w:r w:rsidRPr="00627B12">
        <w:rPr>
          <w:sz w:val="20"/>
          <w:szCs w:val="20"/>
        </w:rPr>
        <w:t>/11 + Matias] (Mateus 10:1-8; Lucas 6:12-19; 9:1-9); os ‘70’ (Lucas 10:1-9</w:t>
      </w:r>
      <w:r w:rsidR="00B04B40" w:rsidRPr="00627B12">
        <w:rPr>
          <w:sz w:val="20"/>
          <w:szCs w:val="20"/>
        </w:rPr>
        <w:t>,17-20</w:t>
      </w:r>
      <w:r w:rsidRPr="00627B12">
        <w:rPr>
          <w:sz w:val="20"/>
          <w:szCs w:val="20"/>
        </w:rPr>
        <w:t xml:space="preserve">); Paulo (Atos 9:1-30; 20:24; </w:t>
      </w:r>
      <w:r w:rsidR="004433A4" w:rsidRPr="00627B12">
        <w:rPr>
          <w:sz w:val="20"/>
          <w:szCs w:val="20"/>
        </w:rPr>
        <w:t xml:space="preserve">II Coríntios </w:t>
      </w:r>
      <w:r w:rsidR="009459FD" w:rsidRPr="00627B12">
        <w:rPr>
          <w:sz w:val="20"/>
          <w:szCs w:val="20"/>
        </w:rPr>
        <w:t xml:space="preserve">12:11-15; </w:t>
      </w:r>
      <w:r w:rsidRPr="00627B12">
        <w:rPr>
          <w:sz w:val="20"/>
          <w:szCs w:val="20"/>
        </w:rPr>
        <w:t>Gálatas 1:15-18)</w:t>
      </w:r>
      <w:r w:rsidR="00B66F95" w:rsidRPr="00627B12">
        <w:rPr>
          <w:sz w:val="20"/>
          <w:szCs w:val="20"/>
        </w:rPr>
        <w:t>.</w:t>
      </w:r>
    </w:p>
    <w:p w:rsidR="00790A43" w:rsidRPr="00627B12" w:rsidRDefault="00790A43" w:rsidP="00CD7FD0">
      <w:pPr>
        <w:pStyle w:val="PargrafodaLista"/>
        <w:numPr>
          <w:ilvl w:val="0"/>
          <w:numId w:val="1"/>
        </w:numPr>
        <w:spacing w:after="40" w:line="240" w:lineRule="auto"/>
        <w:ind w:left="568" w:hanging="284"/>
        <w:rPr>
          <w:sz w:val="20"/>
          <w:szCs w:val="20"/>
        </w:rPr>
      </w:pPr>
      <w:r w:rsidRPr="00627B12">
        <w:rPr>
          <w:sz w:val="20"/>
          <w:szCs w:val="20"/>
        </w:rPr>
        <w:t xml:space="preserve">EXEMPLOS PRÁTICOS: Atos 2:43; 4:33; 5:12-16; 8:6-8; 9:31-43; </w:t>
      </w:r>
      <w:r w:rsidR="00F1150B" w:rsidRPr="00845106">
        <w:rPr>
          <w:b/>
        </w:rPr>
        <w:t>13:4-12</w:t>
      </w:r>
      <w:r w:rsidR="00F1150B">
        <w:rPr>
          <w:sz w:val="20"/>
          <w:szCs w:val="20"/>
        </w:rPr>
        <w:t xml:space="preserve">; </w:t>
      </w:r>
      <w:r w:rsidRPr="00627B12">
        <w:rPr>
          <w:sz w:val="20"/>
          <w:szCs w:val="20"/>
        </w:rPr>
        <w:t>14:1-4; 19:10-20; 28:7-11. [=Lucas 4:38-40].</w:t>
      </w:r>
    </w:p>
    <w:p w:rsidR="00284764" w:rsidRPr="00627B12" w:rsidRDefault="00284764" w:rsidP="00CD7FD0">
      <w:pPr>
        <w:pStyle w:val="PargrafodaLista"/>
        <w:numPr>
          <w:ilvl w:val="0"/>
          <w:numId w:val="1"/>
        </w:numPr>
        <w:spacing w:after="40" w:line="240" w:lineRule="auto"/>
        <w:ind w:left="568" w:hanging="284"/>
        <w:rPr>
          <w:sz w:val="20"/>
          <w:szCs w:val="20"/>
        </w:rPr>
      </w:pPr>
      <w:r w:rsidRPr="00627B12">
        <w:rPr>
          <w:sz w:val="20"/>
          <w:szCs w:val="20"/>
          <w:u w:val="single"/>
        </w:rPr>
        <w:t>TEXTOS-CHAVES DO FIM</w:t>
      </w:r>
      <w:r w:rsidRPr="00627B12">
        <w:rPr>
          <w:sz w:val="20"/>
          <w:szCs w:val="20"/>
        </w:rPr>
        <w:t>: Marcos 16:14-20 (todos os verbos no pretérito perfeito do indicativo e sujeito específico e limitado); Hebreus 2:1-4 (todos os verbos no pretérito perfeito do indicativo e sujeito específico e limitado); I Coríntios 12:31-13:13 (prenúncio do fim das manifestações carismáticas com explicação detalhada; ‘</w:t>
      </w:r>
      <w:r w:rsidR="00CD7FD0">
        <w:rPr>
          <w:sz w:val="20"/>
          <w:szCs w:val="20"/>
        </w:rPr>
        <w:t>... Mas, quando vier o</w:t>
      </w:r>
      <w:r w:rsidR="00CD7FD0">
        <w:rPr>
          <w:rStyle w:val="Refdenotaderodap"/>
          <w:sz w:val="20"/>
          <w:szCs w:val="20"/>
        </w:rPr>
        <w:footnoteReference w:id="1"/>
      </w:r>
      <w:r w:rsidR="00CD7FD0">
        <w:rPr>
          <w:sz w:val="20"/>
          <w:szCs w:val="20"/>
        </w:rPr>
        <w:t xml:space="preserve"> que é perfeito</w:t>
      </w:r>
      <w:r w:rsidRPr="00627B12">
        <w:rPr>
          <w:sz w:val="20"/>
          <w:szCs w:val="20"/>
        </w:rPr>
        <w:t>’: a Bíblia completa; o que é maior que qualquer dom: o AMOR).</w:t>
      </w:r>
    </w:p>
    <w:p w:rsidR="00790A43" w:rsidRPr="00627B12" w:rsidRDefault="00790A43" w:rsidP="00CD7FD0">
      <w:pPr>
        <w:pStyle w:val="PargrafodaLista"/>
        <w:numPr>
          <w:ilvl w:val="0"/>
          <w:numId w:val="1"/>
        </w:numPr>
        <w:spacing w:after="40" w:line="240" w:lineRule="auto"/>
        <w:ind w:left="568" w:hanging="284"/>
        <w:rPr>
          <w:sz w:val="20"/>
          <w:szCs w:val="20"/>
        </w:rPr>
      </w:pPr>
      <w:r w:rsidRPr="00627B12">
        <w:rPr>
          <w:sz w:val="20"/>
          <w:szCs w:val="20"/>
        </w:rPr>
        <w:t>EVIDÊNCIAS DO FIM: I Timóteo 5:23; II Timóteo 4:20.</w:t>
      </w:r>
      <w:r w:rsidRPr="00627B12">
        <w:rPr>
          <w:rStyle w:val="Refdenotaderodap"/>
          <w:sz w:val="20"/>
          <w:szCs w:val="20"/>
        </w:rPr>
        <w:footnoteReference w:id="2"/>
      </w:r>
    </w:p>
    <w:p w:rsidR="003350EF" w:rsidRPr="00627B12" w:rsidRDefault="003350EF" w:rsidP="00CD7FD0">
      <w:pPr>
        <w:pStyle w:val="PargrafodaLista"/>
        <w:numPr>
          <w:ilvl w:val="0"/>
          <w:numId w:val="1"/>
        </w:numPr>
        <w:spacing w:after="40" w:line="240" w:lineRule="auto"/>
        <w:ind w:left="568" w:hanging="284"/>
        <w:rPr>
          <w:sz w:val="20"/>
          <w:szCs w:val="20"/>
        </w:rPr>
      </w:pPr>
      <w:r w:rsidRPr="00627B12">
        <w:rPr>
          <w:sz w:val="20"/>
          <w:szCs w:val="20"/>
        </w:rPr>
        <w:t>OBJEÇÕES: a visibilidade de tais manifestações, hoje, não traria mais ‘sacrifício vivo, santo e agradável a Deus’? João 20:24-31; Hebreus 11:1-12:4. Tais manifestações não favoreceriam a proclamação do Evangelho? Lucas 16:19-31.</w:t>
      </w:r>
    </w:p>
    <w:p w:rsidR="003350EF" w:rsidRPr="00627B12" w:rsidRDefault="003350EF" w:rsidP="00CD7FD0">
      <w:pPr>
        <w:pStyle w:val="PargrafodaLista"/>
        <w:numPr>
          <w:ilvl w:val="0"/>
          <w:numId w:val="1"/>
        </w:numPr>
        <w:spacing w:after="40" w:line="240" w:lineRule="auto"/>
        <w:ind w:left="568" w:hanging="284"/>
        <w:rPr>
          <w:sz w:val="20"/>
          <w:szCs w:val="20"/>
        </w:rPr>
      </w:pPr>
      <w:r w:rsidRPr="00627B12">
        <w:rPr>
          <w:sz w:val="20"/>
          <w:szCs w:val="20"/>
        </w:rPr>
        <w:t>COMO ACONTECEM MILAGRES</w:t>
      </w:r>
      <w:r w:rsidR="00355DA1" w:rsidRPr="00627B12">
        <w:rPr>
          <w:sz w:val="20"/>
          <w:szCs w:val="20"/>
        </w:rPr>
        <w:t>/CURAS</w:t>
      </w:r>
      <w:r w:rsidRPr="00627B12">
        <w:rPr>
          <w:sz w:val="20"/>
          <w:szCs w:val="20"/>
        </w:rPr>
        <w:t xml:space="preserve"> HOJE? I João 5:11-15; Atos 12:1-19</w:t>
      </w:r>
      <w:r w:rsidR="00A40914" w:rsidRPr="00627B12">
        <w:rPr>
          <w:sz w:val="20"/>
          <w:szCs w:val="20"/>
        </w:rPr>
        <w:t>.</w:t>
      </w:r>
    </w:p>
    <w:p w:rsidR="005C7260" w:rsidRPr="00627B12" w:rsidRDefault="005C7260" w:rsidP="00CD7FD0">
      <w:pPr>
        <w:pStyle w:val="PargrafodaLista"/>
        <w:numPr>
          <w:ilvl w:val="0"/>
          <w:numId w:val="1"/>
        </w:numPr>
        <w:spacing w:after="40" w:line="240" w:lineRule="auto"/>
        <w:ind w:left="568" w:hanging="284"/>
        <w:rPr>
          <w:sz w:val="20"/>
          <w:szCs w:val="20"/>
        </w:rPr>
      </w:pPr>
      <w:r w:rsidRPr="00627B12">
        <w:rPr>
          <w:sz w:val="20"/>
          <w:szCs w:val="20"/>
        </w:rPr>
        <w:t>E AS ‘MANIFESTAÇÕES’ HOJE EM DIA, O QUE PODEM SER? Emoções (Jeremias 17:9 com Atos 8:9-24</w:t>
      </w:r>
      <w:r w:rsidR="00715937" w:rsidRPr="00627B12">
        <w:rPr>
          <w:sz w:val="20"/>
          <w:szCs w:val="20"/>
        </w:rPr>
        <w:t>(v. 22: ‘o teu coração’)</w:t>
      </w:r>
      <w:r w:rsidRPr="00627B12">
        <w:rPr>
          <w:sz w:val="20"/>
          <w:szCs w:val="20"/>
        </w:rPr>
        <w:t>); Engano (II Tessalonicenses 2</w:t>
      </w:r>
      <w:r w:rsidR="00715937" w:rsidRPr="00627B12">
        <w:rPr>
          <w:sz w:val="20"/>
          <w:szCs w:val="20"/>
        </w:rPr>
        <w:t>(v. 3: ‘ninguém... vos engane’)</w:t>
      </w:r>
      <w:r w:rsidRPr="00627B12">
        <w:rPr>
          <w:sz w:val="20"/>
          <w:szCs w:val="20"/>
        </w:rPr>
        <w:t>; I Timóteo 4</w:t>
      </w:r>
      <w:r w:rsidR="00715937" w:rsidRPr="00627B12">
        <w:rPr>
          <w:sz w:val="20"/>
          <w:szCs w:val="20"/>
        </w:rPr>
        <w:t>(v. 1: ‘dando ouvidos a’...</w:t>
      </w:r>
      <w:r w:rsidRPr="00627B12">
        <w:rPr>
          <w:sz w:val="20"/>
          <w:szCs w:val="20"/>
        </w:rPr>
        <w:t>); Interesses escusos (Colossenses 2</w:t>
      </w:r>
      <w:r w:rsidR="00715937" w:rsidRPr="00627B12">
        <w:rPr>
          <w:sz w:val="20"/>
          <w:szCs w:val="20"/>
        </w:rPr>
        <w:t>(v. 16: ‘ninguém vos domine’...)</w:t>
      </w:r>
      <w:r w:rsidRPr="00627B12">
        <w:rPr>
          <w:sz w:val="20"/>
          <w:szCs w:val="20"/>
        </w:rPr>
        <w:t>; Ezequiel 13:1-16</w:t>
      </w:r>
      <w:r w:rsidR="00715937" w:rsidRPr="00627B12">
        <w:rPr>
          <w:sz w:val="20"/>
          <w:szCs w:val="20"/>
        </w:rPr>
        <w:t>(v. 16: ‘vêem paz... não havendo paz’...)</w:t>
      </w:r>
      <w:r w:rsidRPr="00627B12">
        <w:rPr>
          <w:sz w:val="20"/>
          <w:szCs w:val="20"/>
        </w:rPr>
        <w:t>). Ex.: Mateus 13:54-58</w:t>
      </w:r>
      <w:r w:rsidR="000B0BD3">
        <w:rPr>
          <w:sz w:val="20"/>
          <w:szCs w:val="20"/>
        </w:rPr>
        <w:t xml:space="preserve"> (←Lucas 4:14-30)</w:t>
      </w:r>
      <w:r w:rsidRPr="00627B12">
        <w:rPr>
          <w:sz w:val="20"/>
          <w:szCs w:val="20"/>
        </w:rPr>
        <w:t xml:space="preserve"> </w:t>
      </w:r>
      <w:r w:rsidRPr="00627B12">
        <w:rPr>
          <w:b/>
          <w:sz w:val="20"/>
          <w:szCs w:val="20"/>
        </w:rPr>
        <w:t>x</w:t>
      </w:r>
      <w:r w:rsidRPr="00627B12">
        <w:rPr>
          <w:sz w:val="20"/>
          <w:szCs w:val="20"/>
        </w:rPr>
        <w:t xml:space="preserve"> Mateus 9:35; 11:20-24; 15:29-31</w:t>
      </w:r>
      <w:r w:rsidR="00715937" w:rsidRPr="00627B12">
        <w:rPr>
          <w:sz w:val="20"/>
          <w:szCs w:val="20"/>
        </w:rPr>
        <w:t>; I Coríntios 13:1(‘Ainda que’, C.S.Concessiva→hipérbole;</w:t>
      </w:r>
      <w:r w:rsidR="00916382">
        <w:rPr>
          <w:rStyle w:val="Refdenotaderodap"/>
          <w:sz w:val="20"/>
          <w:szCs w:val="20"/>
        </w:rPr>
        <w:footnoteReference w:id="3"/>
      </w:r>
      <w:r w:rsidR="00715937" w:rsidRPr="00627B12">
        <w:rPr>
          <w:sz w:val="20"/>
          <w:szCs w:val="20"/>
        </w:rPr>
        <w:t xml:space="preserve"> </w:t>
      </w:r>
      <w:r w:rsidR="00627B12" w:rsidRPr="005374B6">
        <w:rPr>
          <w:sz w:val="20"/>
          <w:szCs w:val="20"/>
          <w:u w:val="single"/>
        </w:rPr>
        <w:t>Hélio</w:t>
      </w:r>
      <w:r w:rsidR="00627B12" w:rsidRPr="00627B12">
        <w:rPr>
          <w:sz w:val="20"/>
          <w:szCs w:val="20"/>
        </w:rPr>
        <w:t xml:space="preserve">: </w:t>
      </w:r>
      <w:r w:rsidR="00627B12">
        <w:rPr>
          <w:sz w:val="20"/>
          <w:szCs w:val="20"/>
        </w:rPr>
        <w:t>“</w:t>
      </w:r>
      <w:r w:rsidR="00627B12" w:rsidRPr="00627B12">
        <w:rPr>
          <w:rFonts w:cs="Arial"/>
          <w:color w:val="000000"/>
          <w:sz w:val="20"/>
          <w:szCs w:val="20"/>
        </w:rPr>
        <w:t xml:space="preserve">Note </w:t>
      </w:r>
      <w:r w:rsidR="00627B12" w:rsidRPr="00627B12">
        <w:rPr>
          <w:sz w:val="20"/>
          <w:szCs w:val="20"/>
        </w:rPr>
        <w:t xml:space="preserve">que todas as 4 condições dos 4 </w:t>
      </w:r>
      <w:r w:rsidR="00627B12">
        <w:rPr>
          <w:sz w:val="20"/>
          <w:szCs w:val="20"/>
        </w:rPr>
        <w:t>‘</w:t>
      </w:r>
      <w:r w:rsidR="00627B12" w:rsidRPr="00627B12">
        <w:rPr>
          <w:sz w:val="20"/>
          <w:szCs w:val="20"/>
        </w:rPr>
        <w:t>ainda que</w:t>
      </w:r>
      <w:r w:rsidR="00627B12">
        <w:rPr>
          <w:sz w:val="20"/>
          <w:szCs w:val="20"/>
        </w:rPr>
        <w:t>’</w:t>
      </w:r>
      <w:r w:rsidR="00627B12" w:rsidRPr="00627B12">
        <w:rPr>
          <w:sz w:val="20"/>
          <w:szCs w:val="20"/>
        </w:rPr>
        <w:t xml:space="preserve"> em 1Co 13:1-3 jamais ocorreram</w:t>
      </w:r>
      <w:r w:rsidR="00627B12">
        <w:rPr>
          <w:sz w:val="20"/>
          <w:szCs w:val="20"/>
        </w:rPr>
        <w:t>”</w:t>
      </w:r>
      <w:r w:rsidR="00627B12" w:rsidRPr="00627B12">
        <w:rPr>
          <w:sz w:val="20"/>
          <w:szCs w:val="20"/>
        </w:rPr>
        <w:t>)</w:t>
      </w:r>
      <w:r w:rsidR="00627B12">
        <w:rPr>
          <w:sz w:val="20"/>
          <w:szCs w:val="20"/>
        </w:rPr>
        <w:t>!!!</w:t>
      </w:r>
    </w:p>
    <w:p w:rsidR="00A40914" w:rsidRPr="00627B12" w:rsidRDefault="00A40914" w:rsidP="00CD7FD0">
      <w:pPr>
        <w:pStyle w:val="PargrafodaLista"/>
        <w:numPr>
          <w:ilvl w:val="0"/>
          <w:numId w:val="1"/>
        </w:numPr>
        <w:spacing w:after="40" w:line="240" w:lineRule="auto"/>
        <w:ind w:left="568" w:hanging="284"/>
        <w:rPr>
          <w:sz w:val="20"/>
          <w:szCs w:val="20"/>
        </w:rPr>
      </w:pPr>
      <w:r w:rsidRPr="00627B12">
        <w:rPr>
          <w:sz w:val="20"/>
          <w:szCs w:val="20"/>
        </w:rPr>
        <w:t>ESTUDO DE CASO:</w:t>
      </w:r>
      <w:r w:rsidR="001E3B5E" w:rsidRPr="00627B12">
        <w:rPr>
          <w:sz w:val="20"/>
          <w:szCs w:val="20"/>
        </w:rPr>
        <w:t xml:space="preserve"> </w:t>
      </w:r>
      <w:r w:rsidRPr="00604934">
        <w:rPr>
          <w:sz w:val="20"/>
          <w:szCs w:val="20"/>
        </w:rPr>
        <w:t>na capa de seu livro ‘Adoração diante do trono’, Ana Paula Valadão nos afirma que ‘o que Deus fez em minha vida e o que ele tem m</w:t>
      </w:r>
      <w:r w:rsidR="00845106">
        <w:rPr>
          <w:sz w:val="20"/>
          <w:szCs w:val="20"/>
        </w:rPr>
        <w:t>e</w:t>
      </w:r>
      <w:r w:rsidRPr="00604934">
        <w:rPr>
          <w:sz w:val="20"/>
          <w:szCs w:val="20"/>
        </w:rPr>
        <w:t xml:space="preserve"> ensinado, com certeza, pode ser multiplicado na sua vida também’. </w:t>
      </w:r>
      <w:r w:rsidR="00FF5EA7" w:rsidRPr="00604934">
        <w:rPr>
          <w:sz w:val="20"/>
          <w:szCs w:val="20"/>
        </w:rPr>
        <w:t xml:space="preserve">E o que aconteceu na vida dela? ‘[Infância:] Ainda aos 8 anos fui batizada com o Espírito Santo e falava novas línguas. Diversas vezes tive visões em arrebatamentos... [Adolescência:] Um dia... Deus trouxe uma visão para uma das líderes: todos nós [do grupo </w:t>
      </w:r>
      <w:r w:rsidR="00FF5EA7" w:rsidRPr="00604934">
        <w:rPr>
          <w:i/>
          <w:sz w:val="20"/>
          <w:szCs w:val="20"/>
        </w:rPr>
        <w:t>King´s Kids</w:t>
      </w:r>
      <w:r w:rsidR="00FF5EA7" w:rsidRPr="00604934">
        <w:rPr>
          <w:sz w:val="20"/>
          <w:szCs w:val="20"/>
        </w:rPr>
        <w:t xml:space="preserve">] éramos vasos. Cada um era especial e único. Mas eu era um vaso muito diferente, e Deus lhe disse que me colocaria em um lugar de honra e me usaria para cousas grandes... [1997/1998] Durante as reuniões, comecei a notar, quando abria os olhos, que meu corpo estava sempre voltado para a diagonal, na direção da bandeira do Brasil que estava em uma das paredes do auditório. Foi quando, de repente, olhei e vi que dentro da bandeira mãos se estendiam para mim e clamavam por socorro. Meu coração se encheu de paixão e imediatamente eu quis voltar para o Brasil... </w:t>
      </w:r>
      <w:r w:rsidR="00FF5EA7" w:rsidRPr="00604934">
        <w:rPr>
          <w:sz w:val="20"/>
          <w:szCs w:val="20"/>
          <w:u w:val="single"/>
        </w:rPr>
        <w:t>Nascia o Diante do Trono</w:t>
      </w:r>
      <w:r w:rsidR="00FF5EA7" w:rsidRPr="00604934">
        <w:rPr>
          <w:sz w:val="20"/>
          <w:szCs w:val="20"/>
        </w:rPr>
        <w:t xml:space="preserve">’. </w:t>
      </w:r>
      <w:r w:rsidR="007041DB" w:rsidRPr="00604934">
        <w:rPr>
          <w:sz w:val="20"/>
          <w:szCs w:val="20"/>
        </w:rPr>
        <w:t>(excertos das págs. 23, 34, 63 e 64) Se não devemos julgar ‘segundo a aparência’ (João 7:24)</w:t>
      </w:r>
      <w:r w:rsidR="00086159" w:rsidRPr="00604934">
        <w:rPr>
          <w:sz w:val="20"/>
          <w:szCs w:val="20"/>
        </w:rPr>
        <w:t xml:space="preserve"> e sendo sabedores de que ‘da abundância do seu coração fala a boca’</w:t>
      </w:r>
      <w:r w:rsidR="00086159" w:rsidRPr="00627B12">
        <w:rPr>
          <w:sz w:val="20"/>
          <w:szCs w:val="20"/>
        </w:rPr>
        <w:t xml:space="preserve"> (Lucas 6:45), como proceder? I Tessalonicenses 5:21.</w:t>
      </w:r>
      <w:r w:rsidR="00FD7C0B" w:rsidRPr="00627B12">
        <w:rPr>
          <w:rStyle w:val="Refdenotaderodap"/>
          <w:sz w:val="20"/>
          <w:szCs w:val="20"/>
        </w:rPr>
        <w:footnoteReference w:id="4"/>
      </w:r>
    </w:p>
    <w:p w:rsidR="00086159" w:rsidRPr="00604934" w:rsidRDefault="00086159" w:rsidP="00CD7FD0">
      <w:pPr>
        <w:pStyle w:val="PargrafodaLista"/>
        <w:numPr>
          <w:ilvl w:val="0"/>
          <w:numId w:val="1"/>
        </w:numPr>
        <w:spacing w:after="40" w:line="240" w:lineRule="auto"/>
        <w:ind w:left="568" w:hanging="284"/>
        <w:rPr>
          <w:sz w:val="20"/>
          <w:szCs w:val="20"/>
        </w:rPr>
      </w:pPr>
      <w:r w:rsidRPr="00604934">
        <w:rPr>
          <w:sz w:val="20"/>
          <w:szCs w:val="20"/>
        </w:rPr>
        <w:t>PARA REFLETIR: ‘ O propósito dos milagres... Eles nunca foram usados para atrair uma multidão, promover um pregador, ou para nenhum dos propósitos básicos para os quais são usados hoje. Você nunca encontrará os apóstolos anunciando ou fazendo propaganda prévia. Você nunca os achará se referindo aos milagres que já realizaram. De fato, se minha memória ainda me serve bem, nenhum escritor do Novo Testamento registra seus próprios milagres’!!! Forest Keener, pastor da Tabernacle Baptist Church, Texas, EUA.</w:t>
      </w:r>
    </w:p>
    <w:p w:rsidR="00284764" w:rsidRPr="00604934" w:rsidRDefault="00086159" w:rsidP="00CD7FD0">
      <w:pPr>
        <w:pStyle w:val="PargrafodaLista"/>
        <w:numPr>
          <w:ilvl w:val="0"/>
          <w:numId w:val="1"/>
        </w:numPr>
        <w:spacing w:after="40" w:line="240" w:lineRule="auto"/>
        <w:ind w:left="568" w:hanging="284"/>
        <w:rPr>
          <w:sz w:val="19"/>
          <w:szCs w:val="19"/>
        </w:rPr>
      </w:pPr>
      <w:r w:rsidRPr="00604934">
        <w:rPr>
          <w:sz w:val="19"/>
          <w:szCs w:val="19"/>
        </w:rPr>
        <w:t xml:space="preserve">LEITURAS RECOMENDADAS: </w:t>
      </w:r>
      <w:r w:rsidRPr="00604934">
        <w:rPr>
          <w:sz w:val="19"/>
          <w:szCs w:val="19"/>
          <w:u w:val="single"/>
        </w:rPr>
        <w:t>artigos</w:t>
      </w:r>
      <w:r w:rsidR="001E3B5E" w:rsidRPr="00604934">
        <w:rPr>
          <w:sz w:val="19"/>
          <w:szCs w:val="19"/>
        </w:rPr>
        <w:t>:</w:t>
      </w:r>
      <w:r w:rsidRPr="00604934">
        <w:rPr>
          <w:sz w:val="19"/>
          <w:szCs w:val="19"/>
        </w:rPr>
        <w:t xml:space="preserve"> centenas encontrados em </w:t>
      </w:r>
      <w:hyperlink r:id="rId8" w:history="1">
        <w:r w:rsidRPr="00604934">
          <w:rPr>
            <w:rStyle w:val="Hyperlink"/>
            <w:sz w:val="19"/>
            <w:szCs w:val="19"/>
          </w:rPr>
          <w:t>www.solascriptura-tt.org</w:t>
        </w:r>
      </w:hyperlink>
      <w:r w:rsidRPr="00604934">
        <w:rPr>
          <w:sz w:val="19"/>
          <w:szCs w:val="19"/>
        </w:rPr>
        <w:t xml:space="preserve">, site de nosso amado amigo Hélio de Menezes Silva; </w:t>
      </w:r>
      <w:r w:rsidRPr="00604934">
        <w:rPr>
          <w:sz w:val="19"/>
          <w:szCs w:val="19"/>
          <w:u w:val="single"/>
        </w:rPr>
        <w:t>livros</w:t>
      </w:r>
      <w:r w:rsidR="001E3B5E" w:rsidRPr="00604934">
        <w:rPr>
          <w:sz w:val="19"/>
          <w:szCs w:val="19"/>
        </w:rPr>
        <w:t>:</w:t>
      </w:r>
      <w:r w:rsidRPr="00604934">
        <w:rPr>
          <w:sz w:val="19"/>
          <w:szCs w:val="19"/>
        </w:rPr>
        <w:t xml:space="preserve"> ‘O Batismo do Espírito Santo’ de Erroll Hulse e ‘Os Carismáticos’ de John McArthur Jr. – </w:t>
      </w:r>
      <w:hyperlink r:id="rId9" w:history="1">
        <w:r w:rsidRPr="00604934">
          <w:rPr>
            <w:rStyle w:val="Hyperlink"/>
            <w:sz w:val="19"/>
            <w:szCs w:val="19"/>
          </w:rPr>
          <w:t>www.editorafiel.com.br</w:t>
        </w:r>
      </w:hyperlink>
      <w:r w:rsidRPr="00604934">
        <w:rPr>
          <w:sz w:val="19"/>
          <w:szCs w:val="19"/>
        </w:rPr>
        <w:t>.</w:t>
      </w:r>
      <w:r w:rsidR="00FD7C0B" w:rsidRPr="00604934">
        <w:rPr>
          <w:rStyle w:val="Refdenotaderodap"/>
          <w:sz w:val="19"/>
          <w:szCs w:val="19"/>
        </w:rPr>
        <w:footnoteReference w:id="5"/>
      </w:r>
      <w:r w:rsidR="00AC0810" w:rsidRPr="00604934">
        <w:rPr>
          <w:sz w:val="19"/>
          <w:szCs w:val="19"/>
        </w:rPr>
        <w:t xml:space="preserve"> </w:t>
      </w:r>
      <w:r w:rsidRPr="00604934">
        <w:rPr>
          <w:sz w:val="19"/>
          <w:szCs w:val="19"/>
        </w:rPr>
        <w:t>(Fontes desse estudo).</w:t>
      </w:r>
    </w:p>
    <w:sectPr w:rsidR="00284764" w:rsidRPr="00604934" w:rsidSect="00A11F7A">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B96" w:rsidRDefault="00362B96" w:rsidP="00790A43">
      <w:pPr>
        <w:spacing w:after="0" w:line="240" w:lineRule="auto"/>
      </w:pPr>
      <w:r>
        <w:separator/>
      </w:r>
    </w:p>
  </w:endnote>
  <w:endnote w:type="continuationSeparator" w:id="0">
    <w:p w:rsidR="00362B96" w:rsidRDefault="00362B96" w:rsidP="00790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B96" w:rsidRDefault="00362B96" w:rsidP="00790A43">
      <w:pPr>
        <w:spacing w:after="0" w:line="240" w:lineRule="auto"/>
      </w:pPr>
      <w:r>
        <w:separator/>
      </w:r>
    </w:p>
  </w:footnote>
  <w:footnote w:type="continuationSeparator" w:id="0">
    <w:p w:rsidR="00362B96" w:rsidRDefault="00362B96" w:rsidP="00790A43">
      <w:pPr>
        <w:spacing w:after="0" w:line="240" w:lineRule="auto"/>
      </w:pPr>
      <w:r>
        <w:continuationSeparator/>
      </w:r>
    </w:p>
  </w:footnote>
  <w:footnote w:id="1">
    <w:p w:rsidR="00CD7FD0" w:rsidRPr="00604934" w:rsidRDefault="00CD7FD0">
      <w:pPr>
        <w:pStyle w:val="Textodenotaderodap"/>
        <w:rPr>
          <w:sz w:val="18"/>
          <w:szCs w:val="18"/>
        </w:rPr>
      </w:pPr>
      <w:r w:rsidRPr="00604934">
        <w:rPr>
          <w:rStyle w:val="Refdenotaderodap"/>
          <w:sz w:val="18"/>
          <w:szCs w:val="18"/>
        </w:rPr>
        <w:footnoteRef/>
      </w:r>
      <w:r w:rsidRPr="00604934">
        <w:rPr>
          <w:sz w:val="18"/>
          <w:szCs w:val="18"/>
        </w:rPr>
        <w:t xml:space="preserve"> De valor e emprego demonstrativo (pronome demonstrativo substantivo), </w:t>
      </w:r>
      <w:r w:rsidR="001773B4" w:rsidRPr="00604934">
        <w:rPr>
          <w:sz w:val="18"/>
          <w:szCs w:val="18"/>
        </w:rPr>
        <w:t xml:space="preserve">o </w:t>
      </w:r>
      <w:r w:rsidRPr="00604934">
        <w:rPr>
          <w:sz w:val="18"/>
          <w:szCs w:val="18"/>
        </w:rPr>
        <w:t xml:space="preserve">“o”, quando no singular masculino, equivale a isto, isso, aquilo, formas invariáveis, </w:t>
      </w:r>
      <w:r w:rsidR="001773B4" w:rsidRPr="00604934">
        <w:rPr>
          <w:sz w:val="18"/>
          <w:szCs w:val="18"/>
        </w:rPr>
        <w:t xml:space="preserve">indicando objetos (coisas), </w:t>
      </w:r>
      <w:r w:rsidR="001773B4" w:rsidRPr="00604934">
        <w:rPr>
          <w:b/>
          <w:sz w:val="18"/>
          <w:szCs w:val="18"/>
          <w:u w:val="single"/>
        </w:rPr>
        <w:t>NÃO</w:t>
      </w:r>
      <w:r w:rsidR="001773B4" w:rsidRPr="00604934">
        <w:rPr>
          <w:sz w:val="18"/>
          <w:szCs w:val="18"/>
        </w:rPr>
        <w:t xml:space="preserve"> sujeitos (pessoas), exercendo as funções de objeto direto ou de predicativo. (Nova Gramát</w:t>
      </w:r>
      <w:r w:rsidR="00604934">
        <w:rPr>
          <w:sz w:val="18"/>
          <w:szCs w:val="18"/>
        </w:rPr>
        <w:t xml:space="preserve">ica do Português Contemporâneo. </w:t>
      </w:r>
      <w:r w:rsidR="001773B4" w:rsidRPr="00604934">
        <w:rPr>
          <w:sz w:val="18"/>
          <w:szCs w:val="18"/>
        </w:rPr>
        <w:t xml:space="preserve">Cunha e Cintra, págs. 342-356 + HOUAISS, </w:t>
      </w:r>
      <w:r w:rsidR="001773B4" w:rsidRPr="00604934">
        <w:rPr>
          <w:i/>
          <w:sz w:val="18"/>
          <w:szCs w:val="18"/>
        </w:rPr>
        <w:t>adaptados</w:t>
      </w:r>
      <w:r w:rsidR="001773B4" w:rsidRPr="00604934">
        <w:rPr>
          <w:sz w:val="18"/>
          <w:szCs w:val="18"/>
        </w:rPr>
        <w:t xml:space="preserve">). </w:t>
      </w:r>
      <w:r w:rsidR="00604934" w:rsidRPr="00604934">
        <w:rPr>
          <w:sz w:val="18"/>
          <w:szCs w:val="18"/>
        </w:rPr>
        <w:t xml:space="preserve">Para EQUIVALÊNCIA em grego, ver, por exemplo, </w:t>
      </w:r>
      <w:hyperlink r:id="rId1" w:history="1">
        <w:r w:rsidR="00604934" w:rsidRPr="00604934">
          <w:rPr>
            <w:rStyle w:val="Hyperlink"/>
            <w:sz w:val="18"/>
            <w:szCs w:val="18"/>
          </w:rPr>
          <w:t>http://www.solascriptura-tt.org/Seitas/Pentecostalismo/RespostasAsPerguntasDeUmCarismatico-Helio.htm</w:t>
        </w:r>
      </w:hyperlink>
      <w:r w:rsidR="00604934" w:rsidRPr="00604934">
        <w:rPr>
          <w:sz w:val="18"/>
          <w:szCs w:val="18"/>
        </w:rPr>
        <w:t xml:space="preserve"> (Itens 13 e 14 e notas 10 e 11).</w:t>
      </w:r>
    </w:p>
  </w:footnote>
  <w:footnote w:id="2">
    <w:p w:rsidR="00790A43" w:rsidRPr="00604934" w:rsidRDefault="00790A43">
      <w:pPr>
        <w:pStyle w:val="Textodenotaderodap"/>
        <w:rPr>
          <w:b/>
          <w:sz w:val="18"/>
          <w:szCs w:val="18"/>
        </w:rPr>
      </w:pPr>
      <w:r w:rsidRPr="00604934">
        <w:rPr>
          <w:rStyle w:val="Refdenotaderodap"/>
          <w:b/>
          <w:sz w:val="18"/>
          <w:szCs w:val="18"/>
        </w:rPr>
        <w:footnoteRef/>
      </w:r>
      <w:r w:rsidRPr="00604934">
        <w:rPr>
          <w:b/>
          <w:sz w:val="18"/>
          <w:szCs w:val="18"/>
        </w:rPr>
        <w:t xml:space="preserve"> À luz do aqui exposto, mesmo que de forma disputada, cabe também como exemplo do fim o texto de Filipenses 2:25-30.</w:t>
      </w:r>
    </w:p>
  </w:footnote>
  <w:footnote w:id="3">
    <w:p w:rsidR="00916382" w:rsidRPr="00C55639" w:rsidRDefault="00916382" w:rsidP="00916382">
      <w:pPr>
        <w:tabs>
          <w:tab w:val="left" w:pos="568"/>
        </w:tabs>
        <w:autoSpaceDE w:val="0"/>
        <w:autoSpaceDN w:val="0"/>
        <w:adjustRightInd w:val="0"/>
        <w:spacing w:after="0" w:line="240" w:lineRule="auto"/>
        <w:rPr>
          <w:sz w:val="18"/>
          <w:szCs w:val="18"/>
        </w:rPr>
      </w:pPr>
      <w:r w:rsidRPr="00C55639">
        <w:rPr>
          <w:rStyle w:val="Refdenotaderodap"/>
          <w:sz w:val="18"/>
          <w:szCs w:val="18"/>
        </w:rPr>
        <w:footnoteRef/>
      </w:r>
      <w:r w:rsidRPr="00C55639">
        <w:rPr>
          <w:sz w:val="18"/>
          <w:szCs w:val="18"/>
        </w:rPr>
        <w:t xml:space="preserve"> ‘A hipérbole é a figura do exagero... é uma figura de expressão. Porém, para exprimir o quê? </w:t>
      </w:r>
      <w:r w:rsidRPr="00C55639">
        <w:rPr>
          <w:sz w:val="18"/>
          <w:szCs w:val="18"/>
          <w:u w:val="single"/>
        </w:rPr>
        <w:t>O inexprimível, por certo. A nosso ver, a função semântica da hipérbole é dizer que de fato não conseguimos dizer</w:t>
      </w:r>
      <w:r w:rsidRPr="00C55639">
        <w:rPr>
          <w:sz w:val="18"/>
          <w:szCs w:val="18"/>
        </w:rPr>
        <w:t xml:space="preserve">, é dar a entender que aquilo de que estamos falando é tão grande, tão bonito, tão importante (ou o contrário) que a linguagem não poderia exprimir. Donde o papel fundamental da hipérbole na retórica religiosa, visto que só ela pode designar aquilo que não se pode denominar... </w:t>
      </w:r>
      <w:r w:rsidRPr="00C55639">
        <w:rPr>
          <w:sz w:val="18"/>
          <w:szCs w:val="18"/>
          <w:u w:val="single"/>
        </w:rPr>
        <w:t>Por que a comparação é um argumento</w:t>
      </w:r>
      <w:r w:rsidRPr="00C55639">
        <w:rPr>
          <w:sz w:val="18"/>
          <w:szCs w:val="18"/>
        </w:rPr>
        <w:t xml:space="preserve">? Por permitir justificar um dos termos a partir do outro ou dos outros... </w:t>
      </w:r>
      <w:r w:rsidRPr="00C55639">
        <w:rPr>
          <w:sz w:val="18"/>
          <w:szCs w:val="18"/>
          <w:u w:val="single"/>
        </w:rPr>
        <w:t>A hipérbole é a figura que condensa esse gênero de argumento. É fonte de grandiosidade</w:t>
      </w:r>
      <w:r w:rsidRPr="00C55639">
        <w:rPr>
          <w:sz w:val="18"/>
          <w:szCs w:val="18"/>
        </w:rPr>
        <w:t xml:space="preserve">... </w:t>
      </w:r>
      <w:r w:rsidR="00CB23B9" w:rsidRPr="00C55639">
        <w:rPr>
          <w:sz w:val="18"/>
          <w:szCs w:val="18"/>
          <w:u w:val="single"/>
        </w:rPr>
        <w:t>A finalidade</w:t>
      </w:r>
      <w:r w:rsidR="00CB23B9" w:rsidRPr="00C55639">
        <w:rPr>
          <w:sz w:val="18"/>
          <w:szCs w:val="18"/>
        </w:rPr>
        <w:t xml:space="preserve">, rejeitada pela ciência, desempenha papel capital nas ações humanas, e dela é possível extrair vários argumentos, todos fundados na ideia de que o valor de uma coisa depende do fim cujo meio é ela, argumentos que não exprimem o </w:t>
      </w:r>
      <w:r w:rsidR="00CB23B9" w:rsidRPr="00C55639">
        <w:rPr>
          <w:i/>
          <w:sz w:val="18"/>
          <w:szCs w:val="18"/>
        </w:rPr>
        <w:t>porquê</w:t>
      </w:r>
      <w:r w:rsidR="00CB23B9" w:rsidRPr="00C55639">
        <w:rPr>
          <w:sz w:val="18"/>
          <w:szCs w:val="18"/>
        </w:rPr>
        <w:t xml:space="preserve">, mas o </w:t>
      </w:r>
      <w:r w:rsidR="00CB23B9" w:rsidRPr="00C55639">
        <w:rPr>
          <w:i/>
          <w:sz w:val="18"/>
          <w:szCs w:val="18"/>
        </w:rPr>
        <w:t>para quê</w:t>
      </w:r>
      <w:r w:rsidR="00CB23B9" w:rsidRPr="00C55639">
        <w:rPr>
          <w:sz w:val="18"/>
          <w:szCs w:val="18"/>
        </w:rPr>
        <w:t xml:space="preserve">... </w:t>
      </w:r>
      <w:r w:rsidR="00CB23B9" w:rsidRPr="00C55639">
        <w:rPr>
          <w:sz w:val="18"/>
          <w:szCs w:val="18"/>
          <w:u w:val="single"/>
        </w:rPr>
        <w:t>O argumento de direção</w:t>
      </w:r>
      <w:r w:rsidR="00CB23B9" w:rsidRPr="00C55639">
        <w:rPr>
          <w:sz w:val="18"/>
          <w:szCs w:val="18"/>
        </w:rPr>
        <w:t xml:space="preserve">... prevê um fato... </w:t>
      </w:r>
      <w:r w:rsidR="00CB23B9" w:rsidRPr="00C55639">
        <w:rPr>
          <w:sz w:val="18"/>
          <w:szCs w:val="18"/>
          <w:u w:val="single"/>
        </w:rPr>
        <w:t>A hipérbole, convém lembrar, é a figura que condensa esses</w:t>
      </w:r>
      <w:r w:rsidR="00CB23B9" w:rsidRPr="00C55639">
        <w:rPr>
          <w:strike/>
          <w:sz w:val="18"/>
          <w:szCs w:val="18"/>
          <w:u w:val="single"/>
        </w:rPr>
        <w:t xml:space="preserve"> dois </w:t>
      </w:r>
      <w:r w:rsidR="00CB23B9" w:rsidRPr="00C55639">
        <w:rPr>
          <w:sz w:val="18"/>
          <w:szCs w:val="18"/>
          <w:u w:val="single"/>
        </w:rPr>
        <w:t>argumentos</w:t>
      </w:r>
      <w:r w:rsidR="00CB23B9" w:rsidRPr="00C55639">
        <w:rPr>
          <w:sz w:val="18"/>
          <w:szCs w:val="18"/>
        </w:rPr>
        <w:t>’... (</w:t>
      </w:r>
      <w:r w:rsidR="00CB23B9" w:rsidRPr="00C55639">
        <w:rPr>
          <w:b/>
          <w:sz w:val="18"/>
          <w:szCs w:val="18"/>
        </w:rPr>
        <w:t>Introdução à Retórica. Olivier Reboul</w:t>
      </w:r>
      <w:r w:rsidR="00CB23B9" w:rsidRPr="00C55639">
        <w:rPr>
          <w:sz w:val="18"/>
          <w:szCs w:val="18"/>
        </w:rPr>
        <w:t>. [</w:t>
      </w:r>
      <w:r w:rsidR="00CB23B9" w:rsidRPr="00604934">
        <w:rPr>
          <w:i/>
          <w:sz w:val="16"/>
          <w:szCs w:val="16"/>
        </w:rPr>
        <w:t>adaptação</w:t>
      </w:r>
      <w:r w:rsidR="00CB23B9" w:rsidRPr="00C55639">
        <w:rPr>
          <w:sz w:val="16"/>
          <w:szCs w:val="16"/>
        </w:rPr>
        <w:t xml:space="preserve"> e </w:t>
      </w:r>
      <w:r w:rsidR="00CB23B9" w:rsidRPr="00604934">
        <w:rPr>
          <w:sz w:val="16"/>
          <w:szCs w:val="16"/>
          <w:u w:val="single"/>
        </w:rPr>
        <w:t>sublinho</w:t>
      </w:r>
      <w:r w:rsidR="00CB23B9" w:rsidRPr="00C55639">
        <w:rPr>
          <w:sz w:val="16"/>
          <w:szCs w:val="16"/>
        </w:rPr>
        <w:t xml:space="preserve"> </w:t>
      </w:r>
      <w:r w:rsidR="00CB23B9" w:rsidRPr="00604934">
        <w:rPr>
          <w:b/>
          <w:sz w:val="16"/>
          <w:szCs w:val="16"/>
        </w:rPr>
        <w:t>nosso</w:t>
      </w:r>
      <w:r w:rsidR="00CB23B9" w:rsidRPr="00C55639">
        <w:rPr>
          <w:sz w:val="18"/>
          <w:szCs w:val="18"/>
        </w:rPr>
        <w:t>]).</w:t>
      </w:r>
    </w:p>
  </w:footnote>
  <w:footnote w:id="4">
    <w:p w:rsidR="00FD7C0B" w:rsidRPr="00C55639" w:rsidRDefault="00FD7C0B">
      <w:pPr>
        <w:pStyle w:val="Textodenotaderodap"/>
        <w:rPr>
          <w:sz w:val="18"/>
          <w:szCs w:val="18"/>
        </w:rPr>
      </w:pPr>
      <w:r w:rsidRPr="00C55639">
        <w:rPr>
          <w:rStyle w:val="Refdenotaderodap"/>
          <w:sz w:val="18"/>
          <w:szCs w:val="18"/>
        </w:rPr>
        <w:footnoteRef/>
      </w:r>
      <w:r w:rsidRPr="00C55639">
        <w:rPr>
          <w:sz w:val="18"/>
          <w:szCs w:val="18"/>
        </w:rPr>
        <w:t xml:space="preserve"> Ou: ‘realmente... julgar [talvez] não. Discernir sempre: mas o mantimento sólido é para os perfeitos, os quais, em razão do costume, têm os sentidos exercitados para </w:t>
      </w:r>
      <w:r w:rsidRPr="00C55639">
        <w:rPr>
          <w:b/>
          <w:i/>
          <w:sz w:val="18"/>
          <w:szCs w:val="18"/>
          <w:u w:val="single"/>
        </w:rPr>
        <w:t>discernir</w:t>
      </w:r>
      <w:r w:rsidRPr="00C55639">
        <w:rPr>
          <w:sz w:val="18"/>
          <w:szCs w:val="18"/>
        </w:rPr>
        <w:t xml:space="preserve"> tanto o bem como o mal’!!! ‘Até</w:t>
      </w:r>
      <w:r w:rsidRPr="00C55639">
        <w:rPr>
          <w:rStyle w:val="Fontepargpadro1"/>
          <w:sz w:val="18"/>
          <w:szCs w:val="18"/>
        </w:rPr>
        <w:t xml:space="preserve"> </w:t>
      </w:r>
      <w:r w:rsidRPr="00C55639">
        <w:rPr>
          <w:bCs/>
          <w:sz w:val="18"/>
          <w:szCs w:val="18"/>
        </w:rPr>
        <w:t>a criança se dará a conhecer pelas suas ações, se a sua obra é pura e reta’</w:t>
      </w:r>
      <w:r w:rsidRPr="00C55639">
        <w:rPr>
          <w:sz w:val="18"/>
          <w:szCs w:val="18"/>
        </w:rPr>
        <w:t>. Provérbios 20:11; Levítico 4:27-31; 5:14-16,17-19. ‘Examinai tudo. Retende o bem’. I Tessalonicenses 5:21</w:t>
      </w:r>
    </w:p>
  </w:footnote>
  <w:footnote w:id="5">
    <w:p w:rsidR="00FD7C0B" w:rsidRPr="00C55639" w:rsidRDefault="00FD7C0B">
      <w:pPr>
        <w:pStyle w:val="Textodenotaderodap"/>
        <w:rPr>
          <w:sz w:val="18"/>
          <w:szCs w:val="18"/>
        </w:rPr>
      </w:pPr>
      <w:r w:rsidRPr="00C55639">
        <w:rPr>
          <w:rStyle w:val="Refdenotaderodap"/>
          <w:sz w:val="18"/>
          <w:szCs w:val="18"/>
        </w:rPr>
        <w:footnoteRef/>
      </w:r>
      <w:r w:rsidRPr="00C55639">
        <w:rPr>
          <w:sz w:val="18"/>
          <w:szCs w:val="18"/>
        </w:rPr>
        <w:t xml:space="preserve"> Mais recentemente temos o livro online ‘Deus quer o Pentecostalismo?’, de Roberto Santos, acessível em </w:t>
      </w:r>
      <w:hyperlink r:id="rId2" w:history="1">
        <w:r w:rsidRPr="00C55639">
          <w:rPr>
            <w:rStyle w:val="Hyperlink"/>
            <w:sz w:val="18"/>
            <w:szCs w:val="18"/>
          </w:rPr>
          <w:t>www.palavraprudente.com.br</w:t>
        </w:r>
      </w:hyperlink>
      <w:r w:rsidRPr="00C55639">
        <w:rPr>
          <w:sz w:val="18"/>
          <w:szCs w:val="18"/>
        </w:rPr>
        <w:t>, com cerca de 200 páginas A4.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828CE"/>
    <w:multiLevelType w:val="hybridMultilevel"/>
    <w:tmpl w:val="685268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36479"/>
    <w:rsid w:val="00031D2A"/>
    <w:rsid w:val="00034614"/>
    <w:rsid w:val="00046D29"/>
    <w:rsid w:val="0005293F"/>
    <w:rsid w:val="00086159"/>
    <w:rsid w:val="000B0BD3"/>
    <w:rsid w:val="000B52C0"/>
    <w:rsid w:val="000E00C1"/>
    <w:rsid w:val="000E0F0C"/>
    <w:rsid w:val="001331CD"/>
    <w:rsid w:val="001377A7"/>
    <w:rsid w:val="001773B4"/>
    <w:rsid w:val="001926DC"/>
    <w:rsid w:val="001B27AC"/>
    <w:rsid w:val="001E3B5E"/>
    <w:rsid w:val="00214A19"/>
    <w:rsid w:val="00232665"/>
    <w:rsid w:val="002374C3"/>
    <w:rsid w:val="00244E6E"/>
    <w:rsid w:val="002665C6"/>
    <w:rsid w:val="00281F96"/>
    <w:rsid w:val="00284764"/>
    <w:rsid w:val="003350EF"/>
    <w:rsid w:val="00346B8D"/>
    <w:rsid w:val="00355DA1"/>
    <w:rsid w:val="00362B96"/>
    <w:rsid w:val="0037664E"/>
    <w:rsid w:val="00377CE5"/>
    <w:rsid w:val="00384BC8"/>
    <w:rsid w:val="003B09EE"/>
    <w:rsid w:val="003C4B88"/>
    <w:rsid w:val="003F0C47"/>
    <w:rsid w:val="00411839"/>
    <w:rsid w:val="004433A4"/>
    <w:rsid w:val="00451914"/>
    <w:rsid w:val="00454329"/>
    <w:rsid w:val="004666B5"/>
    <w:rsid w:val="004945B2"/>
    <w:rsid w:val="005374B6"/>
    <w:rsid w:val="005447AB"/>
    <w:rsid w:val="0059737D"/>
    <w:rsid w:val="005B5951"/>
    <w:rsid w:val="005C7260"/>
    <w:rsid w:val="00604934"/>
    <w:rsid w:val="00627B12"/>
    <w:rsid w:val="006750F0"/>
    <w:rsid w:val="006916B0"/>
    <w:rsid w:val="006E07E0"/>
    <w:rsid w:val="006F5FAE"/>
    <w:rsid w:val="007041DB"/>
    <w:rsid w:val="00715937"/>
    <w:rsid w:val="00721CC9"/>
    <w:rsid w:val="0076171D"/>
    <w:rsid w:val="00765760"/>
    <w:rsid w:val="00790A43"/>
    <w:rsid w:val="007D3381"/>
    <w:rsid w:val="008027D5"/>
    <w:rsid w:val="00804278"/>
    <w:rsid w:val="008162FF"/>
    <w:rsid w:val="00816DE1"/>
    <w:rsid w:val="00823D81"/>
    <w:rsid w:val="0082402F"/>
    <w:rsid w:val="00845106"/>
    <w:rsid w:val="008521A8"/>
    <w:rsid w:val="00857162"/>
    <w:rsid w:val="00883840"/>
    <w:rsid w:val="00894CED"/>
    <w:rsid w:val="008E5628"/>
    <w:rsid w:val="00904A36"/>
    <w:rsid w:val="00916382"/>
    <w:rsid w:val="009171E5"/>
    <w:rsid w:val="0093729C"/>
    <w:rsid w:val="009459FD"/>
    <w:rsid w:val="009B328B"/>
    <w:rsid w:val="009D098E"/>
    <w:rsid w:val="00A11F7A"/>
    <w:rsid w:val="00A249F5"/>
    <w:rsid w:val="00A40914"/>
    <w:rsid w:val="00A605BE"/>
    <w:rsid w:val="00A777D2"/>
    <w:rsid w:val="00A826F4"/>
    <w:rsid w:val="00AA7656"/>
    <w:rsid w:val="00AC0810"/>
    <w:rsid w:val="00AC6A50"/>
    <w:rsid w:val="00AF719D"/>
    <w:rsid w:val="00B04B40"/>
    <w:rsid w:val="00B31E23"/>
    <w:rsid w:val="00B66F95"/>
    <w:rsid w:val="00BC4126"/>
    <w:rsid w:val="00BF7D40"/>
    <w:rsid w:val="00C04BD5"/>
    <w:rsid w:val="00C06A0C"/>
    <w:rsid w:val="00C43614"/>
    <w:rsid w:val="00C46662"/>
    <w:rsid w:val="00C55639"/>
    <w:rsid w:val="00CB23B9"/>
    <w:rsid w:val="00CD7FD0"/>
    <w:rsid w:val="00D12336"/>
    <w:rsid w:val="00D611C5"/>
    <w:rsid w:val="00D65242"/>
    <w:rsid w:val="00D671AB"/>
    <w:rsid w:val="00DC7F31"/>
    <w:rsid w:val="00DE4CA7"/>
    <w:rsid w:val="00E31B30"/>
    <w:rsid w:val="00E73F0C"/>
    <w:rsid w:val="00E849F3"/>
    <w:rsid w:val="00ED7C9E"/>
    <w:rsid w:val="00EE0604"/>
    <w:rsid w:val="00F1150B"/>
    <w:rsid w:val="00F14AF4"/>
    <w:rsid w:val="00F36479"/>
    <w:rsid w:val="00F36F0A"/>
    <w:rsid w:val="00F62BDD"/>
    <w:rsid w:val="00FA4957"/>
    <w:rsid w:val="00FD5177"/>
    <w:rsid w:val="00FD7C0B"/>
    <w:rsid w:val="00FF5E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A7"/>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6479"/>
    <w:pPr>
      <w:ind w:left="720"/>
      <w:contextualSpacing/>
    </w:pPr>
  </w:style>
  <w:style w:type="paragraph" w:styleId="Textodenotaderodap">
    <w:name w:val="footnote text"/>
    <w:basedOn w:val="Normal"/>
    <w:link w:val="TextodenotaderodapChar"/>
    <w:uiPriority w:val="99"/>
    <w:semiHidden/>
    <w:unhideWhenUsed/>
    <w:rsid w:val="00790A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90A43"/>
    <w:rPr>
      <w:sz w:val="20"/>
      <w:szCs w:val="20"/>
    </w:rPr>
  </w:style>
  <w:style w:type="character" w:styleId="Refdenotaderodap">
    <w:name w:val="footnote reference"/>
    <w:basedOn w:val="Fontepargpadro"/>
    <w:uiPriority w:val="99"/>
    <w:semiHidden/>
    <w:unhideWhenUsed/>
    <w:rsid w:val="00790A43"/>
    <w:rPr>
      <w:vertAlign w:val="superscript"/>
    </w:rPr>
  </w:style>
  <w:style w:type="character" w:styleId="Hyperlink">
    <w:name w:val="Hyperlink"/>
    <w:basedOn w:val="Fontepargpadro"/>
    <w:uiPriority w:val="99"/>
    <w:unhideWhenUsed/>
    <w:rsid w:val="00086159"/>
    <w:rPr>
      <w:color w:val="0000FF"/>
      <w:u w:val="single"/>
    </w:rPr>
  </w:style>
  <w:style w:type="character" w:customStyle="1" w:styleId="Fontepargpadro1">
    <w:name w:val="Fonte parág. padrão1"/>
    <w:rsid w:val="00FD7C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lascriptura-t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torafiel.com.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alavraprudente.com.br" TargetMode="External"/><Relationship Id="rId1" Type="http://schemas.openxmlformats.org/officeDocument/2006/relationships/hyperlink" Target="http://www.solascriptura-tt.org/Seitas/Pentecostalismo/RespostasAsPerguntasDeUmCarismatico-Heli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25A19-7222-409B-A8E3-07CD7D27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714</Words>
  <Characters>3857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SEAP</Company>
  <LinksUpToDate>false</LinksUpToDate>
  <CharactersWithSpaces>4562</CharactersWithSpaces>
  <SharedDoc>false</SharedDoc>
  <HLinks>
    <vt:vector size="24" baseType="variant">
      <vt:variant>
        <vt:i4>7274540</vt:i4>
      </vt:variant>
      <vt:variant>
        <vt:i4>3</vt:i4>
      </vt:variant>
      <vt:variant>
        <vt:i4>0</vt:i4>
      </vt:variant>
      <vt:variant>
        <vt:i4>5</vt:i4>
      </vt:variant>
      <vt:variant>
        <vt:lpwstr>http://www.editorafiel.com.br/</vt:lpwstr>
      </vt:variant>
      <vt:variant>
        <vt:lpwstr/>
      </vt:variant>
      <vt:variant>
        <vt:i4>5636099</vt:i4>
      </vt:variant>
      <vt:variant>
        <vt:i4>0</vt:i4>
      </vt:variant>
      <vt:variant>
        <vt:i4>0</vt:i4>
      </vt:variant>
      <vt:variant>
        <vt:i4>5</vt:i4>
      </vt:variant>
      <vt:variant>
        <vt:lpwstr>http://www.solascriptura-tt.org/</vt:lpwstr>
      </vt:variant>
      <vt:variant>
        <vt:lpwstr/>
      </vt:variant>
      <vt:variant>
        <vt:i4>8257579</vt:i4>
      </vt:variant>
      <vt:variant>
        <vt:i4>3</vt:i4>
      </vt:variant>
      <vt:variant>
        <vt:i4>0</vt:i4>
      </vt:variant>
      <vt:variant>
        <vt:i4>5</vt:i4>
      </vt:variant>
      <vt:variant>
        <vt:lpwstr>http://www.palavraprudente.com.br/</vt:lpwstr>
      </vt:variant>
      <vt:variant>
        <vt:lpwstr/>
      </vt:variant>
      <vt:variant>
        <vt:i4>4784139</vt:i4>
      </vt:variant>
      <vt:variant>
        <vt:i4>0</vt:i4>
      </vt:variant>
      <vt:variant>
        <vt:i4>0</vt:i4>
      </vt:variant>
      <vt:variant>
        <vt:i4>5</vt:i4>
      </vt:variant>
      <vt:variant>
        <vt:lpwstr>http://www.solascriptura-tt.org/Seitas/Pentecostalismo/RespostasAsPerguntasDeUmCarismatico-Helio.htm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alexander.silva</dc:creator>
  <cp:lastModifiedBy>Hélio de Menezes Silva</cp:lastModifiedBy>
  <cp:revision>2</cp:revision>
  <cp:lastPrinted>2013-04-12T17:31:00Z</cp:lastPrinted>
  <dcterms:created xsi:type="dcterms:W3CDTF">2015-03-26T13:03:00Z</dcterms:created>
  <dcterms:modified xsi:type="dcterms:W3CDTF">2015-03-26T13:03:00Z</dcterms:modified>
</cp:coreProperties>
</file>