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50" w:rsidRPr="00F41750" w:rsidRDefault="00F41750" w:rsidP="00F41750">
      <w:pPr>
        <w:pStyle w:val="Ttulo1"/>
        <w:rPr>
          <w:w w:val="100"/>
          <w:lang w:eastAsia="pt-BR"/>
        </w:rPr>
      </w:pPr>
      <w:r w:rsidRPr="00F41750">
        <w:rPr>
          <w:w w:val="100"/>
          <w:lang w:eastAsia="pt-BR"/>
        </w:rPr>
        <w:t>Um Pioneiro do Arrebatamento P</w:t>
      </w:r>
      <w:bookmarkStart w:id="0" w:name="_GoBack"/>
      <w:bookmarkEnd w:id="0"/>
      <w:r w:rsidRPr="00F41750">
        <w:rPr>
          <w:w w:val="100"/>
          <w:lang w:eastAsia="pt-BR"/>
        </w:rPr>
        <w:t>ré-Tribulacionista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</w:pP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[</w:t>
      </w:r>
      <w:proofErr w:type="spellStart"/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Brookes</w:t>
      </w:r>
      <w:proofErr w:type="spellEnd"/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 xml:space="preserve">, Proeminente Presbiteriano, Foi Literalista-Dispensacionalista, Pré-Milenarista, Pré-Tribulacionista, </w:t>
      </w:r>
      <w:r w:rsidR="00E82F29"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pró</w:t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 xml:space="preserve"> Israel, </w:t>
      </w:r>
      <w:r w:rsidR="00291BDC"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 xml:space="preserve">precursor do fundamentalismo, </w:t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desde cerca de 18</w:t>
      </w:r>
      <w:r w:rsidR="00291BDC"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7</w:t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t>0.</w:t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br/>
      </w:r>
      <w:hyperlink r:id="rId5" w:history="1">
        <w:r>
          <w:rPr>
            <w:rStyle w:val="Hyperlink"/>
          </w:rPr>
          <w:t>https://www.chamada.com.br/mensagens/pioneiro.html</w:t>
        </w:r>
      </w:hyperlink>
      <w:r>
        <w:t xml:space="preserve"> ]</w:t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br/>
      </w:r>
      <w:r>
        <w:rPr>
          <w:rFonts w:ascii="Trebuchet MS" w:eastAsia="Times New Roman" w:hAnsi="Trebuchet MS"/>
          <w:color w:val="666666"/>
          <w:spacing w:val="0"/>
          <w:w w:val="100"/>
          <w:sz w:val="24"/>
          <w:szCs w:val="24"/>
          <w:lang w:eastAsia="pt-BR"/>
        </w:rPr>
        <w:br/>
      </w:r>
      <w:r w:rsidRPr="00F41750">
        <w:rPr>
          <w:rFonts w:ascii="Trebuchet MS" w:eastAsia="Times New Roman" w:hAnsi="Trebuchet MS"/>
          <w:b/>
          <w:bCs/>
          <w:color w:val="666666"/>
          <w:spacing w:val="0"/>
          <w:w w:val="100"/>
          <w:sz w:val="24"/>
          <w:szCs w:val="24"/>
          <w:lang w:eastAsia="pt-BR"/>
        </w:rPr>
        <w:t>Thomas Ice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Muitos hoje ficam surpresos por verificar que a maioria dos defensores do pré-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pré-tribulacionista dispensacional antes da Primeira Guerra Mundial pertencia aos círculos presbiterianos. James Hall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(1830-1897), um ministro presbiteriano muito conhecido em seus dias, é considerado o pai do pré-tribulacionismo e do dispensacionalismo americanos.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foi um dos primeiros a ensinar o Arrebatamento pré-Tribulação e as verdades dispensacionalistas que o acompanham, na América </w:t>
      </w:r>
      <w:proofErr w:type="gram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pós Guerra</w:t>
      </w:r>
      <w:proofErr w:type="gram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Civil. O ministério dele foi caracterizado pela dedicação a uma exposição bíblica versículo por versículo das Escrituras e por uma asserção e defesa firmes da inspiração completa e infalível da Escritura Sagrada. Ele foi um pastor muito amado, que demonstrava grande integridade pessoal e espiritualidade, e que exerceu muita influência nacional tanto dentro da denominação quanto por todo o âmbito evangélico.[1]</w:t>
      </w:r>
    </w:p>
    <w:p w:rsidR="00F41750" w:rsidRPr="00F41750" w:rsidRDefault="00F41750" w:rsidP="00F41750">
      <w:pPr>
        <w:shd w:val="clear" w:color="auto" w:fill="FFFFFF"/>
        <w:spacing w:before="48" w:after="120" w:line="240" w:lineRule="auto"/>
        <w:outlineLvl w:val="1"/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</w:pPr>
      <w:r w:rsidRPr="00F41750"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  <w:t>Vida Pregressa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nasceu no dia 27 de fevereiro de 1830, em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Pulaski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no estado americano do Tennessee. Seu pai, um ministro presbiteriano, morreu de cólera em junho de 1833, deixando a família e James em uma situação financeira de pobreza. Ambos os avós de James eram também ministros presbiterianos.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aparentemente tornou-se crente em Cristo com a idade de oito anos e também começou a se sustentar nessa mesma ocasião. Quando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tinha 14 anos, foi-lhe oferecida uma designação na Academia Militar de West Point, mas ele não a aceitou porque, em vez disso, desejava se preparar para o ministério. A maior parte da educação formal de James até aos 14 anos foi ministrada por sua mãe, que era </w:t>
      </w:r>
      <w:proofErr w:type="gram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bem educada</w:t>
      </w:r>
      <w:proofErr w:type="gram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 capaz de oferecer uma excelente instrução escolar. Aos 16 anos, James se tornou professor em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Pulaski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, Tennessee, e economizou tanto dinheiro quanto lhe foi possível a fim de poder pagar seus estudos na faculdade.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James acabou começando sua carreira na faculdade com 20 anos e entrou na Universidade de Miami em Oxford, no estado americano de Ohio. Ele foi colocado em turma mais adiantada por causa de suas habilidades acadêmicas e de seu treinamento anterior. Durante seu último ano no curso de graduação,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assumiu estudos adicionais no Seminário Presbiteriano Union de Oxford, Ohio, a fim de se equipar melhor para conseguir fazer seu treinamento ministerial em Princeton.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se formou na Universidade de Miami em 1853 e entrou para o Seminário Teológico de Princeton em Nova Jérsei no mesmo ano. Ele não somente recebeu o diploma de graduação na Universidade de Miami, mas foi lá que encontrou sua esposa, Susan Oliver, filha de um proeminente médico. Diz-se que Susan era excepcionalmente bonita e </w:t>
      </w:r>
      <w:proofErr w:type="gram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bem educada</w:t>
      </w:r>
      <w:proofErr w:type="gram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e que seria uma ótima esposa de pastor. Eles se casaram no dia 2 de maio de 1854, em Dayton, Ohio, onde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se tornou pastor da Primeira Igreja Presbiteriana. James terminou seus estudos de pós-graduação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lastRenderedPageBreak/>
        <w:t>no Seminário de Princeton, que naquela época era considerado o melhor e mais conservador seminário nos Estados Unidos. Em 1854, foi ordenado pelo seminário por conta de seus estudos de pós-graduação.</w:t>
      </w:r>
    </w:p>
    <w:p w:rsidR="00F41750" w:rsidRPr="00F41750" w:rsidRDefault="00F41750" w:rsidP="00F41750">
      <w:pPr>
        <w:shd w:val="clear" w:color="auto" w:fill="FFFFFF"/>
        <w:spacing w:before="48" w:after="120" w:line="240" w:lineRule="auto"/>
        <w:outlineLvl w:val="1"/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</w:pPr>
      <w:r w:rsidRPr="00F41750"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  <w:t>Vida Pastoral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De 1854 a 1858,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pastoreou sua primeira igreja em Dayton. A seguir, ele foi chamado para pastorear a Segunda Igreja Presbiteriana, em Saint Louis, estado americano do Missouri. Em Missouri ele permaneceu até sua morte, em 1897. Quando a Guerra Civil irrompeu, no início dos anos 1860, uma série de acontecimentos levou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a renunciar a seu cargo na igreja. Exatamente no dia seguinte, ele foi chamado a uma nova igreja e aceitou o chamado da Igreja Presbiteriana nas ruas Décima Sexta com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Walnut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que foi onde ele serviu como pastor até sua morte. (Essa igreja mais tarde mudou e se tornou a Igreja Presbiteriana nas avenidas Washington 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Campton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.) A nova Igreja Presbiteriana cresceu rapidamente e passou a ser a maior e mais influente igreja em Saint Louis.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A pregação de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era extremamente popular onde quer que ele falasse. Ele foi um pioneiro em seus dias, com sua ênfase na exposição da Bíblia em inglês 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[a KJV-1611]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em uma época que a maioria apresentava tratados teológicos nos púlpitos. Um dos autores que escreveu sua biografia observou que ele manteve essas visões mesmo enquanto estava no Seminário.</w:t>
      </w:r>
    </w:p>
    <w:p w:rsidR="00F41750" w:rsidRPr="00F41750" w:rsidRDefault="00F41750" w:rsidP="00F41750">
      <w:pPr>
        <w:shd w:val="clear" w:color="auto" w:fill="FFFFFF"/>
        <w:spacing w:line="384" w:lineRule="atLeast"/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Ele também afirmava que os seminários teológicos não davam o devido valor à Bíblia em inglês</w:t>
      </w:r>
      <w:r w:rsidR="00291BDC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 xml:space="preserve"> 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[a KJV-1611]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[tentavam enfatizar mais os textos em grego e hebraico]</w:t>
      </w:r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. Ele, o defensor da Bíblia em inglês, sempre falava e não poupava esforços quando discutia sobre esse ponto. Ele disse que a média dos formandos do seminário “sabia demais sobre a Bíblia, mas não o suficiente da Bíblia”.[2]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Embora não negligenciasse o importante papel do grego e do hebraico para o expositor bíblico,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proporcionou um grande legado que foi seguido, nos últimos 150 anos, pelos excelentes professores que ministravam versículo por versículo. Esta ênfase na Bíblia em inglês 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[a KJV-1611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, não os textos em grego e hebraico e grego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]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estava no coração dos fundadores do primeiro Departamento de Exposição Bíblica do Seminário Teológico de Dallas.</w:t>
      </w:r>
    </w:p>
    <w:p w:rsidR="00F41750" w:rsidRPr="00F41750" w:rsidRDefault="00F41750" w:rsidP="00F41750">
      <w:pPr>
        <w:shd w:val="clear" w:color="auto" w:fill="FFFFFF"/>
        <w:spacing w:before="48" w:after="120" w:line="240" w:lineRule="auto"/>
        <w:outlineLvl w:val="1"/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</w:pPr>
      <w:r w:rsidRPr="00F41750"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  <w:t>Ministério e Influência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É inquestionável que, durante a última terça parte do Século XIX,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foi o mais famoso e influente ministro presbiteriano da América. Ele começou seu ministério literário nos anos 1860 e produziu no mínimo 26 livros que foram publicados e cerca de 200 porções bíblicas. No início dos anos 1870, ele publicou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Maranata,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uma obra abrangente sobre escatologia que foi um dos trabalhos mais populares que ensinava o Arrebatamento pré-Tribulação. Outros livros sobre profecia incluíram: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Israel and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the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Church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[Israel e a Igreja],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Bible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Reading on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the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Second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Coming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[Leitura Bíblica Sobre a Segunda Vinda] e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Till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He Come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[Até que Ele Venha], título que mais tarde foi trocado por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I Am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Coming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[Eu Estou Chegando].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defendeu valorosamente a inspiração completa das Escrituras numa época em que as visões liberal e crítica da Bíblia estavam entrando na Igreja Presbiteriana e em outras denominações americanas. Foi quando ele escreveu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God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Spake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All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These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Words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[Deus Falou Todas Estas Palavras].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jc w:val="center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noProof/>
          <w:color w:val="222222"/>
          <w:spacing w:val="0"/>
          <w:w w:val="100"/>
          <w:sz w:val="24"/>
          <w:szCs w:val="24"/>
          <w:lang w:eastAsia="pt-BR"/>
        </w:rPr>
        <w:lastRenderedPageBreak/>
        <w:drawing>
          <wp:inline distT="0" distB="0" distL="0" distR="0">
            <wp:extent cx="6097905" cy="30067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br/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Universidade bíblica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, localizada em Saint Louis, Missouri,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Eua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Em 1875,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começou um periódico mensal denominado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The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Truth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or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Testimony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for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Christ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[A Verdade ou Testemunho por Cristo], que finalmente chegou a ter uma circulação de mais de 40.000 exemplares. Ele continuou a servir como editor até a sua morte, e através dessa publicação ele estimulava os cristãos no evangelismo, e no estudo das profecias. Depois de sua morte, o periódico fundiu-se com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The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Watchword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[Palavra de Ordem], que mais tarde ficou conhecido como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The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Watchword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and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Truth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[Palavra de Ordem e Verdade].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Durante todos os anos do ministério de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ele foi um participante ativo em eventos denominacionais e interdenominacionais. James foi eleito moderador da assembleia geral múltiplas vezes. Este era o ofício mais importante dentro de sua denominação na América. Foi um palestrante muito conhecido em conferências bíblicas, em encontros da YMCA, e em conferências sobre profecias. Em 1875, James foi um dos fundadores e presidente de uma conferência anual que finalmente se tornou conhecida como a Conferência Bíblica de Niágara. Esse evento anual em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Niagara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-on-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the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-Lake, em Ontário, Canadá, tornou-se a principal conferência para estudiosos da Bíblia nos últimos anos do Século XIX. Durante sua existência, a conferência era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interdenominacional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 pré-milenista. Ela era incondicionalmente pré-tribulacionista em perspectiva até que a controvérsia entre pré-tribulação e pós-tribulação passou a ser pública depois da morte de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. A controvérsia doutrinária, as incertezas quanto à localização e a morte de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levaram ao seu declínio e, em 1900, foi realizada a última conferência. O Instituto Bíblico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em Saint Louis, recebeu o nome em homenagem ao Dr.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 é hoje denominado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Bible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College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[Faculdade de Teologia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]. Por todos os seus anos,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foi um líder indiscutível e, através de seus esforços, o pré-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 o dispensacionalismo foram amplamente disseminados para além das barreiras denominacionais dentro do Protestantismo conservador.</w:t>
      </w:r>
    </w:p>
    <w:p w:rsidR="00F41750" w:rsidRPr="00F41750" w:rsidRDefault="00F41750" w:rsidP="00F4175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222222"/>
          <w:spacing w:val="0"/>
          <w:w w:val="100"/>
          <w:sz w:val="24"/>
          <w:szCs w:val="24"/>
          <w:lang w:eastAsia="pt-BR"/>
        </w:rPr>
      </w:pPr>
    </w:p>
    <w:p w:rsidR="00F41750" w:rsidRPr="00F41750" w:rsidRDefault="00F41750" w:rsidP="00F41750">
      <w:pPr>
        <w:shd w:val="clear" w:color="auto" w:fill="FFFFFF"/>
        <w:spacing w:before="48" w:after="120" w:line="240" w:lineRule="auto"/>
        <w:outlineLvl w:val="1"/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</w:pPr>
      <w:r w:rsidRPr="00F41750"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  <w:t>Influência da Profecia Bíblica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lastRenderedPageBreak/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foi um dos mais proeminentes e fervorosos estudantes de profecia de seu tempo. Em um artigo de 1896 no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The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Truth</w:t>
      </w:r>
      <w:proofErr w:type="spellEnd"/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chamado “Como Tornei-me Pré-Milenista”,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afirmou que ele chegou à sua escatologia pré-milenista através de suas próprias leituras e estudos de Apocalipse e Daniel, depois de ter entrado para o pastorado e depois de ter negligenciado as profecias por muitos anos. Esse estudo independente, juntamente com alguma influência dos Plymouth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Brethren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[Irmãos de Plymouth] nos anos depois da Guerra Civil, lhe proporcionaram o pano de fundo histórico para suas convicções. Ele hospedou o líder dos British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Brethren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[Irmãos Britânicos], John Nelson Darby, em sua igreja em múltiplas ocasiões, mas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negava ser receptor direto da escatologia dos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Brethren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embora reconhecesse ter um apreço pelo entusiasmo escatológico deles. Logo em 1871,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já estava publicando e ensinando visões semelhantes ao dispensacionalismo. Em 1874, seu sistema estava bem desenvolvido e foi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quem apresentou C.I. Scofield, logo depois da conversão deste, aos ensinamentos do pré-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dispensacionalista. Seria através de Scofield e de sua Bíblia de Estudos que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teria sua influência mais duradoura.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era versado nas opções escatológicas dentro do pré-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e discutia tanto contra uma teoria do Arrebatamento parcial quanto contra o pós-tribulacionismo. Ele se recusava a estabelecer datas para o Arrebatamento e se apegou a uma forte doutrina do retorno do Senhor e da iminência desse retorno:</w:t>
      </w:r>
    </w:p>
    <w:p w:rsidR="00F41750" w:rsidRPr="00F41750" w:rsidRDefault="00F41750" w:rsidP="00F41750">
      <w:pPr>
        <w:shd w:val="clear" w:color="auto" w:fill="FFFFFF"/>
        <w:spacing w:line="384" w:lineRule="atLeast"/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Quão emocionante é o pensamento de que o primeiro desses sensacionais acontecimentos, a saber, a vinda de Cristo para os santos, possa ocorrer a qualquer momento.[3]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Ele era muito consciente da acusação feita por críticos mal informados de que os dispensacionalistas afirmavam haver mais de um caminho para a salvação, e refutava isto veementemente em seus escritos:</w:t>
      </w:r>
    </w:p>
    <w:p w:rsidR="00F41750" w:rsidRPr="00F41750" w:rsidRDefault="00F41750" w:rsidP="00F41750">
      <w:pPr>
        <w:shd w:val="clear" w:color="auto" w:fill="FFFFFF"/>
        <w:spacing w:line="384" w:lineRule="atLeast"/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É desnecessário lembrar qualquer leitor comum das Sagradas Escrituras de que, desde os versículos de abertura de Gênesis até Malaquias, o Espírito é posto à vista na criação, providência e redenção, e que todos os que são salvos foram vivificados através de seu divino poder e graça, como o são agora.[4]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Um estudioso escreveu em uma tese de doutorado:</w:t>
      </w:r>
    </w:p>
    <w:p w:rsidR="00F41750" w:rsidRPr="00F41750" w:rsidRDefault="00F41750" w:rsidP="00F41750">
      <w:pPr>
        <w:shd w:val="clear" w:color="auto" w:fill="FFFFFF"/>
        <w:spacing w:line="384" w:lineRule="atLeast"/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 xml:space="preserve">James </w:t>
      </w:r>
      <w:proofErr w:type="spellStart"/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 xml:space="preserve"> causou um tremendo impacto sobre a cena religiosa americana. Ele teve um papel crucial no desenvolvimento e divulgação do pré-</w:t>
      </w:r>
      <w:proofErr w:type="spellStart"/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6F6F6F"/>
          <w:spacing w:val="0"/>
          <w:w w:val="100"/>
          <w:sz w:val="24"/>
          <w:szCs w:val="24"/>
          <w:lang w:eastAsia="pt-BR"/>
        </w:rPr>
        <w:t xml:space="preserve"> dispensacionalista americano e, assim, sobre o Fundamentalismo americano. Por meio de seus escritos, sua liderança na Conferência Bíblica de Niágara e seus relacionamentos pessoais, ele afetou toda uma geração de líderes pré-milenistas. Seu impacto é difícil de ser superestimado. A despeito dessa importância, ele permanece relativamente negligenciado.[5]</w:t>
      </w:r>
    </w:p>
    <w:p w:rsidR="00F41750" w:rsidRPr="00F41750" w:rsidRDefault="00F41750" w:rsidP="00F41750">
      <w:pPr>
        <w:shd w:val="clear" w:color="auto" w:fill="FFFFFF"/>
        <w:spacing w:after="300" w:line="384" w:lineRule="atLeast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tinha uma versão altamente desenvolvida da teologia dispensacionalista, a qual ele promoveu e divulgou por toda a América do Norte através de suas pregações, seus escritos e sua influência como Presidente da Conferência Bíblica de Niágara. Ele também estabeleceu um padrão para a teologia evangélica como resultado da declaração doutrinária de Niágara que escreveu. James seguiu vigorosamente a Cristo ao edificar sua teologia com base na Bíblia e na Bíblia somente. “James H.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merece uma posição nobre nas memórias daqueles que hoje, como ele, buscam honrar a verdade bíblica”.[6]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é um valioso pai do movimento de exposição bíblica, do pré-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milenismo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futurista, do dispensacionalismo, e do Arrebatamento pré-tribulacionista. É triste ver uma ênfase tão saudável em tamanho declínio em nossos dias, até mesmo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lastRenderedPageBreak/>
        <w:t>entre as igrejas, denominações e associações que certa vez já prosperaram quando seguiam a liderança dele. Maranata!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(Thomas Ice — </w:t>
      </w:r>
      <w:proofErr w:type="spellStart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>Pre-Trib</w:t>
      </w:r>
      <w:proofErr w:type="spellEnd"/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eastAsia="pt-BR"/>
        </w:rPr>
        <w:t xml:space="preserve"> Perspectives)</w:t>
      </w:r>
    </w:p>
    <w:p w:rsidR="00F41750" w:rsidRPr="00F41750" w:rsidRDefault="00F41750" w:rsidP="00F41750">
      <w:pPr>
        <w:shd w:val="clear" w:color="auto" w:fill="FFFFFF"/>
        <w:spacing w:before="48" w:after="120" w:line="240" w:lineRule="auto"/>
        <w:outlineLvl w:val="1"/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</w:pPr>
      <w:r w:rsidRPr="00F41750">
        <w:rPr>
          <w:rFonts w:ascii="Trebuchet MS" w:eastAsia="Times New Roman" w:hAnsi="Trebuchet MS" w:cs="Helvetica"/>
          <w:color w:val="222222"/>
          <w:spacing w:val="0"/>
          <w:w w:val="100"/>
          <w:sz w:val="41"/>
          <w:szCs w:val="41"/>
          <w:lang w:eastAsia="pt-BR"/>
        </w:rPr>
        <w:t>Notas: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Baseei-me grandemente em um artigo de Timothy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Demy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 xml:space="preserve">, “James Hall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Brookes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eastAsia="pt-BR"/>
        </w:rPr>
        <w:t>” http://www.pre-trib.org/data/pdf/Demy-JamesHallBookes.pdf.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David Riddle Williams,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val="en-CA" w:eastAsia="pt-BR"/>
        </w:rPr>
        <w:t>James H. Brookes: A Memoir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[James H. Brookes: Uma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Memória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] (St. Louis: Presbyterian Board of Publication, 1897), pp. 58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59.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James H. Brookes,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val="en-CA" w:eastAsia="pt-BR"/>
        </w:rPr>
        <w:t>Maranatha: or The Lord Cometh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[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Maranata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: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ou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Vem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Senhor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], 10th edition (New York: Fleming H. Revell Company, 1889), p. 540.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James H. Brookes,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i/>
          <w:iCs/>
          <w:color w:val="222222"/>
          <w:spacing w:val="0"/>
          <w:w w:val="100"/>
          <w:sz w:val="24"/>
          <w:szCs w:val="24"/>
          <w:lang w:val="en-CA" w:eastAsia="pt-BR"/>
        </w:rPr>
        <w:t>Israel and the Church: The Terms Distinguished as Found in the Word of God</w:t>
      </w:r>
      <w:r w:rsidR="00291BDC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[Israel e </w:t>
      </w:r>
      <w:proofErr w:type="gram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a</w:t>
      </w:r>
      <w:proofErr w:type="gram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Igreja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: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Os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Termos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Distintos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Como São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Encontrados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na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Palavra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de Deus] (Chicago: The Bible Institute Colportage Association, 188?), p. 38.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Carl E. Sanders II, “The Premillennial Faith of James Hall Brookes” [A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Fé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Pré-Milenista de James H. Brookes] (PhD dissertation, Dallas Theological Seminary, 1995), p. 202.</w:t>
      </w:r>
    </w:p>
    <w:p w:rsidR="00F41750" w:rsidRPr="00F41750" w:rsidRDefault="00F41750" w:rsidP="00F41750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</w:pPr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Larry Dean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Pettegrew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, “The Historical and Theological Contributions of the Niagara Bible Conference to American Fundamentalism” [As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Contribuições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Históricas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e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Teológicas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da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Conferência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Bíblica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de Niagara para o 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Fundamentalismo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Americano] (</w:t>
      </w:r>
      <w:proofErr w:type="spellStart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>ThD</w:t>
      </w:r>
      <w:proofErr w:type="spellEnd"/>
      <w:r w:rsidRPr="00F41750">
        <w:rPr>
          <w:rFonts w:ascii="inherit" w:eastAsia="Times New Roman" w:hAnsi="inherit" w:cs="Helvetica"/>
          <w:color w:val="222222"/>
          <w:spacing w:val="0"/>
          <w:w w:val="100"/>
          <w:sz w:val="24"/>
          <w:szCs w:val="24"/>
          <w:lang w:val="en-CA" w:eastAsia="pt-BR"/>
        </w:rPr>
        <w:t xml:space="preserve"> dissertation, Dallas Theological Seminary, 1976), p. 161.</w:t>
      </w:r>
    </w:p>
    <w:p w:rsidR="00DA575C" w:rsidRDefault="00DA575C">
      <w:pPr>
        <w:rPr>
          <w:lang w:val="en-CA"/>
        </w:rPr>
      </w:pPr>
    </w:p>
    <w:p w:rsidR="00F41750" w:rsidRDefault="00F41750" w:rsidP="00F41750">
      <w:pPr>
        <w:rPr>
          <w:lang w:val="en-CA"/>
        </w:rPr>
      </w:pPr>
    </w:p>
    <w:p w:rsidR="00F41750" w:rsidRPr="00F41750" w:rsidRDefault="00F41750" w:rsidP="00F41750">
      <w:r>
        <w:rPr>
          <w:rStyle w:val="Forte"/>
          <w:rFonts w:ascii="Helvetica" w:hAnsi="Helvetica" w:cs="Helvetica"/>
          <w:color w:val="222222"/>
          <w:sz w:val="22"/>
          <w:szCs w:val="22"/>
          <w:shd w:val="clear" w:color="auto" w:fill="FFFFFF"/>
        </w:rPr>
        <w:t>Thomas Ice</w:t>
      </w:r>
      <w:r w:rsidR="00291BDC"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é diretor-executivo do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Pre-Trib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Research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Center (Centro de Pesquisas Pré-Tribulacionistas) e professor de Teologia na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Liberty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University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. Ele é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Th.M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 xml:space="preserve">. pelo Seminário Teológico de Dallas e Ph.D. pelo Seminário Teológico Tyndale. Editor da Bíblia de Estudo Profética e autor de aproximadamente 30 livros, Thomas Ice é também um renomado conferencista. Ele e sua esposa Janice vivem com os três filhos em </w:t>
      </w:r>
      <w:proofErr w:type="spellStart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Lynchburg</w:t>
      </w:r>
      <w:proofErr w:type="spellEnd"/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, Virginia (EUA).</w:t>
      </w:r>
    </w:p>
    <w:sectPr w:rsidR="00F41750" w:rsidRPr="00F41750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43CF"/>
    <w:multiLevelType w:val="multilevel"/>
    <w:tmpl w:val="35CA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50"/>
    <w:rsid w:val="000B6EF7"/>
    <w:rsid w:val="000C656D"/>
    <w:rsid w:val="00291BDC"/>
    <w:rsid w:val="004300E4"/>
    <w:rsid w:val="00482560"/>
    <w:rsid w:val="004B4CF0"/>
    <w:rsid w:val="00771F88"/>
    <w:rsid w:val="00803B04"/>
    <w:rsid w:val="00DA575C"/>
    <w:rsid w:val="00E82F29"/>
    <w:rsid w:val="00F41750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3FA1"/>
  <w15:chartTrackingRefBased/>
  <w15:docId w15:val="{8787CA4B-DEEF-43A2-B5FA-5C98EAE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paragraph" w:customStyle="1" w:styleId="authorname">
    <w:name w:val="author_name"/>
    <w:basedOn w:val="Normal"/>
    <w:rsid w:val="00F41750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4175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F417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41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5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</w:div>
            <w:div w:id="237324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1739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</w:div>
            <w:div w:id="103842984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</w:div>
            <w:div w:id="140058976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4" w:color="DDDDDD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chamada.com.br/mensagens/pioneir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2167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2019-12-26T01:10:00Z</dcterms:created>
  <dcterms:modified xsi:type="dcterms:W3CDTF">2019-12-26T01:39:00Z</dcterms:modified>
</cp:coreProperties>
</file>