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BD" w:rsidRPr="003750BD" w:rsidRDefault="003750BD" w:rsidP="003750BD">
      <w:pPr>
        <w:pStyle w:val="Ttulo1"/>
        <w:rPr>
          <w:sz w:val="22"/>
          <w:szCs w:val="22"/>
        </w:rPr>
      </w:pPr>
      <w:r w:rsidRPr="003750BD">
        <w:t xml:space="preserve">A </w:t>
      </w:r>
      <w:r w:rsidRPr="003750BD">
        <w:t>Doutrina</w:t>
      </w:r>
      <w:r w:rsidRPr="003750BD">
        <w:t xml:space="preserve"> da Igreja:</w:t>
      </w:r>
      <w:r w:rsidRPr="003750BD">
        <w:br/>
      </w:r>
      <w:r w:rsidRPr="003750BD">
        <w:br/>
      </w:r>
      <w:r w:rsidRPr="003750BD">
        <w:t>Reformadores versus Anabatistas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center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  <w:sz w:val="16"/>
          <w:szCs w:val="16"/>
        </w:rPr>
        <w:br/>
      </w:r>
      <w:r>
        <w:rPr>
          <w:rFonts w:ascii="Verdana" w:hAnsi="Verdana" w:cs="Calibri"/>
          <w:color w:val="222222"/>
          <w:sz w:val="16"/>
          <w:szCs w:val="16"/>
        </w:rPr>
        <w:t xml:space="preserve">Por </w:t>
      </w:r>
      <w:r w:rsidRPr="003750BD">
        <w:rPr>
          <w:rFonts w:ascii="Verdana" w:hAnsi="Verdana" w:cs="Calibri"/>
          <w:b/>
          <w:color w:val="222222"/>
          <w:sz w:val="20"/>
          <w:szCs w:val="16"/>
        </w:rPr>
        <w:t>Ernest Pickering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22222"/>
          <w:sz w:val="16"/>
          <w:szCs w:val="16"/>
        </w:rPr>
        <w:t>Nota do Tradutor: O texto abaixo é tradução de enxertos de um subitem do Capítulo 3 – </w:t>
      </w:r>
      <w:proofErr w:type="spellStart"/>
      <w:r>
        <w:rPr>
          <w:rFonts w:ascii="Old serif" w:hAnsi="Old serif" w:cs="Calibri"/>
          <w:b/>
          <w:bCs/>
          <w:i/>
          <w:iCs/>
          <w:color w:val="222222"/>
          <w:sz w:val="16"/>
          <w:szCs w:val="16"/>
        </w:rPr>
        <w:t>Separatism</w:t>
      </w:r>
      <w:proofErr w:type="spellEnd"/>
      <w:r>
        <w:rPr>
          <w:rFonts w:ascii="Old serif" w:hAnsi="Old serif" w:cs="Calibri"/>
          <w:b/>
          <w:bCs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Old serif" w:hAnsi="Old serif" w:cs="Calibri"/>
          <w:b/>
          <w:bCs/>
          <w:i/>
          <w:iCs/>
          <w:color w:val="222222"/>
          <w:sz w:val="16"/>
          <w:szCs w:val="16"/>
        </w:rPr>
        <w:t>and</w:t>
      </w:r>
      <w:proofErr w:type="spellEnd"/>
      <w:r>
        <w:rPr>
          <w:rFonts w:ascii="Old serif" w:hAnsi="Old serif" w:cs="Calibri"/>
          <w:b/>
          <w:bCs/>
          <w:i/>
          <w:iCs/>
          <w:color w:val="222222"/>
          <w:sz w:val="16"/>
          <w:szCs w:val="16"/>
        </w:rPr>
        <w:t xml:space="preserve"> The </w:t>
      </w:r>
      <w:proofErr w:type="spellStart"/>
      <w:r>
        <w:rPr>
          <w:rFonts w:ascii="Old serif" w:hAnsi="Old serif" w:cs="Calibri"/>
          <w:b/>
          <w:bCs/>
          <w:i/>
          <w:iCs/>
          <w:color w:val="222222"/>
          <w:sz w:val="16"/>
          <w:szCs w:val="16"/>
        </w:rPr>
        <w:t>Anabaptists</w:t>
      </w:r>
      <w:proofErr w:type="spellEnd"/>
      <w:r>
        <w:rPr>
          <w:rFonts w:ascii="Old serif" w:hAnsi="Old serif" w:cs="Calibri"/>
          <w:color w:val="222222"/>
          <w:sz w:val="16"/>
          <w:szCs w:val="16"/>
        </w:rPr>
        <w:t>, parte do livro </w:t>
      </w:r>
      <w:r>
        <w:rPr>
          <w:rFonts w:ascii="Old serif" w:hAnsi="Old serif" w:cs="Calibri"/>
          <w:b/>
          <w:bCs/>
          <w:i/>
          <w:iCs/>
          <w:color w:val="222222"/>
          <w:sz w:val="16"/>
          <w:szCs w:val="16"/>
        </w:rPr>
        <w:t>BIBLICAL SEPARATION: THE STRUGGLE FOR A PURE CHURCH</w:t>
      </w:r>
      <w:r>
        <w:rPr>
          <w:rFonts w:ascii="Old serif" w:hAnsi="Old serif" w:cs="Calibri"/>
          <w:color w:val="222222"/>
          <w:sz w:val="20"/>
          <w:szCs w:val="20"/>
          <w:vertAlign w:val="superscript"/>
        </w:rPr>
        <w:t>1</w:t>
      </w:r>
      <w:r>
        <w:rPr>
          <w:rFonts w:ascii="Old serif" w:hAnsi="Old serif" w:cs="Calibri"/>
          <w:b/>
          <w:bCs/>
          <w:i/>
          <w:iCs/>
          <w:color w:val="222222"/>
          <w:sz w:val="16"/>
          <w:szCs w:val="16"/>
        </w:rPr>
        <w:t> </w:t>
      </w:r>
      <w:r>
        <w:rPr>
          <w:rFonts w:ascii="Old serif" w:hAnsi="Old serif" w:cs="Calibri"/>
          <w:color w:val="222222"/>
          <w:sz w:val="16"/>
          <w:szCs w:val="16"/>
        </w:rPr>
        <w:t>(SEPARAÇÃO BÍBLICA: A LUTA POR UMA IGREJA PURA), de autoria de Ernest Pickering.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22222"/>
          <w:sz w:val="16"/>
          <w:szCs w:val="16"/>
        </w:rPr>
        <w:t>Deixo claro que não concordo 100% com Pickering, especialmente com seu entendimento sobre Associações de Igrejas (dentre outras). Porém, neste livro, Pickering faz um tratado excepcional sobre a História das Igrejas Locais em busca de pureza doutrinária e, este item em especial, traz alguns importantes esclarecimentos.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22222"/>
          <w:sz w:val="16"/>
          <w:szCs w:val="16"/>
        </w:rPr>
        <w:t>Acredito que, pela graça de Deus, será de edificação bíblica para muitos irmãos. Tenho pesquisado e estudado este assunto e tenho chegado à conclusão que a doutrina da igreja católica (universal) invisível tem sido uma grande e forte motivação que tem gerado alguns pecados em particular praticados em algumas igrejas anteriormente fiéis, tais como: ausência de separação bíblica, inclusivismo emergente, ausência de disciplina eclesiástica, ceia inclusiva (aberta), envolvimento com associações, convenções e ligas, seminários defensores de criticismo textual, denominacionalismo estruturado (</w:t>
      </w:r>
      <w:proofErr w:type="spellStart"/>
      <w:r>
        <w:rPr>
          <w:rFonts w:ascii="Old serif" w:hAnsi="Old serif" w:cs="Calibri"/>
          <w:color w:val="222222"/>
          <w:sz w:val="16"/>
          <w:szCs w:val="16"/>
        </w:rPr>
        <w:t>nicolaísmo</w:t>
      </w:r>
      <w:proofErr w:type="spellEnd"/>
      <w:r>
        <w:rPr>
          <w:rFonts w:ascii="Old serif" w:hAnsi="Old serif" w:cs="Calibri"/>
          <w:color w:val="222222"/>
          <w:sz w:val="16"/>
          <w:szCs w:val="16"/>
        </w:rPr>
        <w:t>), dentre outros.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22222"/>
          <w:sz w:val="16"/>
          <w:szCs w:val="16"/>
        </w:rPr>
        <w:t>Em português foi preferida a utilização do termo “Católica” ao invés de seu sinônimo “Universal”, por se adaptar melhor à contextualização da época em que ocorreram as perseguições aos Anabatistas, embora devamos entender que ambas as palavras são uma única e a mesma definição que compõem a doutrina antibíblica da igreja invisível.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b/>
          <w:bCs/>
          <w:color w:val="222222"/>
        </w:rPr>
        <w:t> </w:t>
      </w:r>
    </w:p>
    <w:p w:rsidR="00B712CD" w:rsidRPr="00B712CD" w:rsidRDefault="00B712CD" w:rsidP="00B712CD">
      <w:pPr>
        <w:pStyle w:val="Ttulo2"/>
        <w:rPr>
          <w:rFonts w:eastAsia="Calibri"/>
        </w:rPr>
      </w:pPr>
      <w:r w:rsidRPr="00B712CD">
        <w:rPr>
          <w:rFonts w:eastAsia="Calibri"/>
        </w:rPr>
        <w:t>A Divergência Entre Anabatista e Reformados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Verdana" w:hAnsi="Verdana" w:cs="Calibri"/>
          <w:b/>
          <w:bCs/>
          <w:color w:val="222222"/>
        </w:rPr>
      </w:pPr>
      <w:r>
        <w:rPr>
          <w:rFonts w:ascii="Verdana" w:hAnsi="Verdana" w:cs="Calibri"/>
          <w:b/>
          <w:bCs/>
          <w:color w:val="222222"/>
        </w:rPr>
        <w:t> </w:t>
      </w:r>
    </w:p>
    <w:p w:rsidR="00D35E0B" w:rsidRDefault="00D35E0B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</w:p>
    <w:p w:rsidR="00D35E0B" w:rsidRDefault="00D35E0B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</w:p>
    <w:p w:rsidR="003750BD" w:rsidRPr="003750BD" w:rsidRDefault="003750BD" w:rsidP="00B712CD">
      <w:pPr>
        <w:pStyle w:val="Ttulo3"/>
        <w:rPr>
          <w:color w:val="C45911" w:themeColor="accent2" w:themeShade="BF"/>
        </w:rPr>
      </w:pPr>
      <w:r w:rsidRPr="003750BD">
        <w:rPr>
          <w:color w:val="C45911" w:themeColor="accent2" w:themeShade="BF"/>
        </w:rPr>
        <w:t>Pontos de vistas dos principais reformadores em relação à igreja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b/>
          <w:bCs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Particularmente na área da eclesiologia, os Anabatistas discordaram fortemente de Calvino, Lutero e dos outros reformadores.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Os principais reformadores acreditavam que a igreja </w:t>
      </w:r>
      <w:r>
        <w:rPr>
          <w:rFonts w:ascii="Verdana" w:hAnsi="Verdana" w:cs="Calibri"/>
          <w:color w:val="222222"/>
          <w:sz w:val="18"/>
          <w:szCs w:val="18"/>
        </w:rPr>
        <w:t>católica</w:t>
      </w:r>
      <w:r>
        <w:rPr>
          <w:rFonts w:ascii="Verdana" w:hAnsi="Verdana" w:cs="Calibri"/>
          <w:color w:val="222222"/>
        </w:rPr>
        <w:t> </w:t>
      </w:r>
      <w:r>
        <w:rPr>
          <w:rFonts w:ascii="Verdana" w:hAnsi="Verdana" w:cs="Calibri"/>
          <w:i/>
          <w:iCs/>
          <w:color w:val="222222"/>
        </w:rPr>
        <w:t>invisível</w:t>
      </w:r>
      <w:r>
        <w:rPr>
          <w:rFonts w:ascii="Verdana" w:hAnsi="Verdana" w:cs="Calibri"/>
          <w:color w:val="222222"/>
        </w:rPr>
        <w:t> incluía todos os verdadeiros crentes. Muito provavelmente eles tenham herdado essa ênfase na igreja </w:t>
      </w:r>
      <w:r>
        <w:rPr>
          <w:rFonts w:ascii="Verdana" w:hAnsi="Verdana" w:cs="Calibri"/>
          <w:color w:val="222222"/>
          <w:sz w:val="18"/>
          <w:szCs w:val="18"/>
        </w:rPr>
        <w:t>católica</w:t>
      </w:r>
      <w:r>
        <w:rPr>
          <w:rFonts w:ascii="Verdana" w:hAnsi="Verdana" w:cs="Calibri"/>
          <w:color w:val="222222"/>
        </w:rPr>
        <w:t> </w:t>
      </w:r>
      <w:r>
        <w:rPr>
          <w:rFonts w:ascii="Verdana" w:hAnsi="Verdana" w:cs="Calibri"/>
          <w:i/>
          <w:iCs/>
          <w:color w:val="222222"/>
        </w:rPr>
        <w:t>invisível </w:t>
      </w:r>
      <w:r>
        <w:rPr>
          <w:rFonts w:ascii="Verdana" w:hAnsi="Verdana" w:cs="Calibri"/>
          <w:color w:val="222222"/>
        </w:rPr>
        <w:t>de Agostinho, que achou </w:t>
      </w:r>
      <w:r>
        <w:rPr>
          <w:rFonts w:ascii="Verdana" w:hAnsi="Verdana" w:cs="Calibri"/>
          <w:color w:val="222222"/>
          <w:sz w:val="18"/>
          <w:szCs w:val="18"/>
        </w:rPr>
        <w:t>este</w:t>
      </w:r>
      <w:r>
        <w:rPr>
          <w:rFonts w:ascii="Verdana" w:hAnsi="Verdana" w:cs="Calibri"/>
          <w:color w:val="222222"/>
        </w:rPr>
        <w:t> um conceito útil ao </w:t>
      </w:r>
      <w:r>
        <w:rPr>
          <w:rFonts w:ascii="Verdana" w:hAnsi="Verdana" w:cs="Calibri"/>
          <w:color w:val="222222"/>
          <w:sz w:val="18"/>
          <w:szCs w:val="18"/>
        </w:rPr>
        <w:t>buscar</w:t>
      </w:r>
      <w:r>
        <w:rPr>
          <w:rFonts w:ascii="Verdana" w:hAnsi="Verdana" w:cs="Calibri"/>
          <w:color w:val="222222"/>
        </w:rPr>
        <w:t> contradizer os donatistas.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Quanto à igreja visível, os principais reformadores defenderam obstinadamente o conceito de que tanto os crentes quanto os incrédulos estavam incluídos </w:t>
      </w:r>
      <w:r>
        <w:rPr>
          <w:rFonts w:ascii="Verdana" w:hAnsi="Verdana" w:cs="Calibri"/>
          <w:color w:val="222222"/>
          <w:sz w:val="18"/>
          <w:szCs w:val="18"/>
        </w:rPr>
        <w:t>nela</w:t>
      </w:r>
      <w:r>
        <w:rPr>
          <w:rFonts w:ascii="Verdana" w:hAnsi="Verdana" w:cs="Calibri"/>
          <w:color w:val="222222"/>
        </w:rPr>
        <w:t> e que era errado procurar corrigir a situação.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proofErr w:type="spellStart"/>
      <w:r>
        <w:rPr>
          <w:rFonts w:ascii="Verdana" w:hAnsi="Verdana" w:cs="Calibri"/>
          <w:color w:val="222222"/>
        </w:rPr>
        <w:t>Berkhof</w:t>
      </w:r>
      <w:proofErr w:type="spellEnd"/>
      <w:r>
        <w:rPr>
          <w:rFonts w:ascii="Verdana" w:hAnsi="Verdana" w:cs="Calibri"/>
          <w:color w:val="222222"/>
        </w:rPr>
        <w:t xml:space="preserve"> tem uma análise penetrante da posição de Lutero: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“Sua insistência [de Lutero] na invisibilidade da Igreja serviu para negar que a Igreja </w:t>
      </w:r>
      <w:r>
        <w:rPr>
          <w:rFonts w:ascii="Verdana" w:hAnsi="Verdana" w:cs="Calibri"/>
          <w:color w:val="222222"/>
          <w:sz w:val="18"/>
          <w:szCs w:val="18"/>
        </w:rPr>
        <w:t>católica</w:t>
      </w:r>
      <w:r>
        <w:rPr>
          <w:rFonts w:ascii="Verdana" w:hAnsi="Verdana" w:cs="Calibri"/>
          <w:color w:val="222222"/>
        </w:rPr>
        <w:t> é essencialmente uma sociedade externa com um cabeça visível </w:t>
      </w:r>
      <w:r>
        <w:rPr>
          <w:rFonts w:ascii="Verdana" w:hAnsi="Verdana" w:cs="Calibri"/>
          <w:color w:val="222222"/>
          <w:sz w:val="18"/>
          <w:szCs w:val="18"/>
        </w:rPr>
        <w:t>[o papa]</w:t>
      </w:r>
      <w:r>
        <w:rPr>
          <w:rFonts w:ascii="Verdana" w:hAnsi="Verdana" w:cs="Calibri"/>
          <w:color w:val="222222"/>
        </w:rPr>
        <w:t>, e de afirmar a essência da Igreja é encontrada na esfera do invisível...”</w:t>
      </w:r>
      <w:r>
        <w:rPr>
          <w:rFonts w:ascii="Verdana" w:hAnsi="Verdana" w:cs="Calibri"/>
          <w:color w:val="222222"/>
          <w:vertAlign w:val="superscript"/>
        </w:rPr>
        <w:t>2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Lutero defendia uma sociedade eclesiástica externa que incluía: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“...o número ou a multidão de batizados e crentes que pertencem a um sacerdote ou a um bispo, seja em uma cidade, ou em uma terra inteira ou no mundo inteiro”.</w:t>
      </w:r>
      <w:r>
        <w:rPr>
          <w:rFonts w:ascii="Verdana" w:hAnsi="Verdana" w:cs="Calibri"/>
          <w:color w:val="222222"/>
          <w:vertAlign w:val="superscript"/>
        </w:rPr>
        <w:t>3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O acesso a esta igreja visível, de acordo com os reformadores, ocorria por meio do batismo infantil.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Embora </w:t>
      </w:r>
      <w:r>
        <w:rPr>
          <w:rFonts w:ascii="Verdana" w:hAnsi="Verdana" w:cs="Calibri"/>
          <w:color w:val="222222"/>
          <w:sz w:val="18"/>
          <w:szCs w:val="18"/>
        </w:rPr>
        <w:t>[os reformados]</w:t>
      </w:r>
      <w:r>
        <w:rPr>
          <w:rFonts w:ascii="Verdana" w:hAnsi="Verdana" w:cs="Calibri"/>
          <w:color w:val="222222"/>
        </w:rPr>
        <w:t> divergissem quanto aos detalhes do significado do batismo, eles concordaram nesse ponto - as crianças deveriam ser batizadas. Eles ensinaram (exceto Zwinglio) que o batismo era um sacramento, conferindo graça aos seus receptores.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“Em oposição aos Anabatistas, que colocaram a ênfase do sacramento em seu próprio ato em oposição ao ato de Deus e viram no batismo nada além de um sinal de que o novo nascimento já havia ocorrido, e consequentemente rejeitaram o batismo infantil, Lutero manteve o direito e a necessidade do batismo infantil. As crianças devem ser batizadas tanto quanto os adultos, pois o batismo é essencial para a salvação”</w:t>
      </w:r>
      <w:r>
        <w:rPr>
          <w:rFonts w:ascii="Verdana" w:hAnsi="Verdana" w:cs="Calibri"/>
          <w:color w:val="222222"/>
          <w:vertAlign w:val="superscript"/>
        </w:rPr>
        <w:t>4</w:t>
      </w:r>
      <w:r>
        <w:rPr>
          <w:rFonts w:ascii="Verdana" w:hAnsi="Verdana" w:cs="Calibri"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Um dogma dos Reformadores é especialmente difícil para muitos cristãos modernos entenderem. Eles acreditavam que a igreja visível deveria ser defendida pelos poderes civis. Como já havia sido dito, eles se apegaram firmemente a uma relação interligada entre a igreja e o estado.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“O príncipe deve tolerar em seu reino apenas a Igreja Única da Palavra pura”</w:t>
      </w:r>
      <w:r>
        <w:rPr>
          <w:rFonts w:ascii="Verdana" w:hAnsi="Verdana" w:cs="Calibri"/>
          <w:color w:val="222222"/>
          <w:vertAlign w:val="superscript"/>
        </w:rPr>
        <w:t>5</w:t>
      </w:r>
      <w:r>
        <w:rPr>
          <w:rFonts w:ascii="Verdana" w:hAnsi="Verdana" w:cs="Calibri"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Pr="003750BD" w:rsidRDefault="003750BD" w:rsidP="003750BD">
      <w:pPr>
        <w:pStyle w:val="Ttulo3"/>
        <w:rPr>
          <w:color w:val="C45911" w:themeColor="accent2" w:themeShade="BF"/>
        </w:rPr>
      </w:pPr>
      <w:r w:rsidRPr="003750BD">
        <w:rPr>
          <w:color w:val="C45911" w:themeColor="accent2" w:themeShade="BF"/>
        </w:rPr>
        <w:t>Pontos de vista dos anabatistas em relação à igreja local.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Anabatistas sentiram </w:t>
      </w:r>
      <w:r>
        <w:rPr>
          <w:rFonts w:ascii="Verdana" w:hAnsi="Verdana" w:cs="Calibri"/>
          <w:color w:val="222222"/>
          <w:vertAlign w:val="subscript"/>
        </w:rPr>
        <w:t>ou, melhor,</w:t>
      </w:r>
      <w:r>
        <w:rPr>
          <w:rFonts w:ascii="Verdana" w:hAnsi="Verdana" w:cs="Calibri"/>
          <w:color w:val="222222"/>
        </w:rPr>
        <w:t> </w:t>
      </w:r>
      <w:r>
        <w:rPr>
          <w:rFonts w:ascii="Verdana" w:hAnsi="Verdana" w:cs="Calibri"/>
          <w:color w:val="222222"/>
          <w:vertAlign w:val="subscript"/>
        </w:rPr>
        <w:t>perceberam em seu entendimento Bíblico</w:t>
      </w:r>
      <w:r>
        <w:rPr>
          <w:rFonts w:ascii="Verdana" w:hAnsi="Verdana" w:cs="Calibri"/>
          <w:color w:val="222222"/>
        </w:rPr>
        <w:t> que </w:t>
      </w:r>
      <w:r>
        <w:rPr>
          <w:rFonts w:ascii="Verdana" w:hAnsi="Verdana" w:cs="Calibri"/>
          <w:b/>
          <w:bCs/>
          <w:color w:val="222222"/>
        </w:rPr>
        <w:t>a ênfase do Novo Testamento estava na igreja visível, nas congregações locais</w:t>
      </w:r>
      <w:r>
        <w:rPr>
          <w:rFonts w:ascii="Verdana" w:hAnsi="Verdana" w:cs="Calibri"/>
          <w:color w:val="222222"/>
        </w:rPr>
        <w:t>. Eles não aceitaram as tentativas dos Reformadores de escapar das implicações do Novo Testamento de uma igreja reunida (livre) fugindo para a doutrina da igreja </w:t>
      </w:r>
      <w:r>
        <w:rPr>
          <w:rFonts w:ascii="Verdana" w:hAnsi="Verdana" w:cs="Calibri"/>
          <w:color w:val="222222"/>
          <w:vertAlign w:val="subscript"/>
        </w:rPr>
        <w:t>católica </w:t>
      </w:r>
      <w:r>
        <w:rPr>
          <w:rFonts w:ascii="Verdana" w:hAnsi="Verdana" w:cs="Calibri"/>
          <w:color w:val="222222"/>
        </w:rPr>
        <w:t>invisível.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“Os Anabatistas não estavam satisfeitos com a distinção dos Reformadores entre uma igreja visível, que é terrena e impura, e uma igreja </w:t>
      </w:r>
      <w:r>
        <w:rPr>
          <w:rFonts w:ascii="Verdana" w:hAnsi="Verdana" w:cs="Calibri"/>
          <w:color w:val="222222"/>
          <w:vertAlign w:val="subscript"/>
        </w:rPr>
        <w:t>católica</w:t>
      </w:r>
      <w:r>
        <w:rPr>
          <w:rFonts w:ascii="Verdana" w:hAnsi="Verdana" w:cs="Calibri"/>
          <w:color w:val="222222"/>
        </w:rPr>
        <w:t> invisível, que é celestial e pura. Sua preocupação prática era a atualização de um corpo visível e verdadeiro de Cristo na Terra, que deveria estar de acordo com o padrão do Novo Testamento. Eles fizeram uma distinção afiada, entretanto, entre a ‘igreja verdadeira’, pela qual eles se referiam, e a ‘igreja do anticristo’, pela qual eles se referiam à Igreja Romana”</w:t>
      </w:r>
      <w:r>
        <w:rPr>
          <w:rFonts w:ascii="Verdana" w:hAnsi="Verdana" w:cs="Calibri"/>
          <w:color w:val="222222"/>
          <w:vertAlign w:val="superscript"/>
        </w:rPr>
        <w:t>6</w:t>
      </w:r>
      <w:r>
        <w:rPr>
          <w:rFonts w:ascii="Verdana" w:hAnsi="Verdana" w:cs="Calibri"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Os Anabatistas rejeitaram completamente o conceito da igreja </w:t>
      </w:r>
      <w:r>
        <w:rPr>
          <w:rFonts w:ascii="Verdana" w:hAnsi="Verdana" w:cs="Calibri"/>
          <w:color w:val="222222"/>
          <w:vertAlign w:val="subscript"/>
        </w:rPr>
        <w:t>estatal </w:t>
      </w:r>
      <w:r>
        <w:rPr>
          <w:rFonts w:ascii="Verdana" w:hAnsi="Verdana" w:cs="Calibri"/>
          <w:color w:val="222222"/>
        </w:rPr>
        <w:t>estabelecida, “substituindo o monopólio da igreja estatal autoritária e compulsória por congregações </w:t>
      </w:r>
      <w:r>
        <w:rPr>
          <w:rFonts w:ascii="Verdana" w:hAnsi="Verdana" w:cs="Calibri"/>
          <w:color w:val="222222"/>
          <w:vertAlign w:val="subscript"/>
        </w:rPr>
        <w:t>locais</w:t>
      </w:r>
      <w:r>
        <w:rPr>
          <w:rFonts w:ascii="Verdana" w:hAnsi="Verdana" w:cs="Calibri"/>
          <w:color w:val="222222"/>
        </w:rPr>
        <w:t> independentes e voluntárias...”</w:t>
      </w:r>
      <w:r>
        <w:rPr>
          <w:rFonts w:ascii="Verdana" w:hAnsi="Verdana" w:cs="Calibri"/>
          <w:color w:val="222222"/>
          <w:vertAlign w:val="superscript"/>
        </w:rPr>
        <w:t>7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Houve outro ponto de discordância também. Os Reformadores tinham um conceito muito mais amplo da composição da igreja </w:t>
      </w:r>
      <w:r>
        <w:rPr>
          <w:rFonts w:ascii="Verdana" w:hAnsi="Verdana" w:cs="Calibri"/>
          <w:color w:val="222222"/>
          <w:vertAlign w:val="subscript"/>
        </w:rPr>
        <w:t>local</w:t>
      </w:r>
      <w:r>
        <w:rPr>
          <w:rFonts w:ascii="Verdana" w:hAnsi="Verdana" w:cs="Calibri"/>
          <w:color w:val="222222"/>
        </w:rPr>
        <w:t> do que os Anabatistas. Como se observou, Zwinglio estava “disposto a assumir que todos em Zurique eram, em certo sentido, Cristãos”. Os Anabatistas, entretanto, chegaram a concluir “que tal ideia de ‘igreja em massa’ é estranha</w:t>
      </w:r>
      <w:r>
        <w:rPr>
          <w:rFonts w:ascii="Verdana" w:hAnsi="Verdana" w:cs="Calibri"/>
          <w:color w:val="222222"/>
          <w:vertAlign w:val="subscript"/>
        </w:rPr>
        <w:t> ao conceito de igreja local descrita e definida pelo</w:t>
      </w:r>
      <w:r>
        <w:rPr>
          <w:rFonts w:ascii="Verdana" w:hAnsi="Verdana" w:cs="Calibri"/>
          <w:color w:val="222222"/>
        </w:rPr>
        <w:t> Novo Testamento”</w:t>
      </w:r>
      <w:r>
        <w:rPr>
          <w:rFonts w:ascii="Verdana" w:hAnsi="Verdana" w:cs="Calibri"/>
          <w:color w:val="222222"/>
          <w:vertAlign w:val="superscript"/>
        </w:rPr>
        <w:t>8</w:t>
      </w:r>
      <w:r>
        <w:rPr>
          <w:rFonts w:ascii="Verdana" w:hAnsi="Verdana" w:cs="Calibri"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6282A"/>
        </w:rPr>
        <w:t xml:space="preserve">Em uma de suas declarações doutrinárias, a Confissão de </w:t>
      </w:r>
      <w:proofErr w:type="spellStart"/>
      <w:r>
        <w:rPr>
          <w:rFonts w:ascii="Verdana" w:hAnsi="Verdana" w:cs="Calibri"/>
          <w:color w:val="26282A"/>
        </w:rPr>
        <w:t>Schleitheim</w:t>
      </w:r>
      <w:proofErr w:type="spellEnd"/>
      <w:r>
        <w:rPr>
          <w:rFonts w:ascii="Verdana" w:hAnsi="Verdana" w:cs="Calibri"/>
          <w:color w:val="26282A"/>
        </w:rPr>
        <w:t xml:space="preserve"> (1527), os Anabatistas declararam: “O batismo deve ser dado a todos os que aprenderam </w:t>
      </w:r>
      <w:r>
        <w:rPr>
          <w:rFonts w:ascii="Verdana" w:hAnsi="Verdana" w:cs="Calibri"/>
          <w:color w:val="26282A"/>
          <w:vertAlign w:val="subscript"/>
        </w:rPr>
        <w:t>e verdadeiramente passaram pelo</w:t>
      </w:r>
      <w:r>
        <w:rPr>
          <w:rFonts w:ascii="Verdana" w:hAnsi="Verdana" w:cs="Calibri"/>
          <w:color w:val="26282A"/>
        </w:rPr>
        <w:t> arrependimento e pela renovação de vida ... a todos os que andam na ressurreição de Jesus Cristo”</w:t>
      </w:r>
      <w:r>
        <w:rPr>
          <w:rFonts w:ascii="Verdana" w:hAnsi="Verdana" w:cs="Calibri"/>
          <w:color w:val="26282A"/>
          <w:vertAlign w:val="superscript"/>
        </w:rPr>
        <w:t>9</w:t>
      </w:r>
      <w:r>
        <w:rPr>
          <w:rFonts w:ascii="Verdana" w:hAnsi="Verdana" w:cs="Calibri"/>
          <w:color w:val="26282A"/>
        </w:rPr>
        <w:t xml:space="preserve">. Não podemos deixar de citar o bom resumo das distinções de </w:t>
      </w:r>
      <w:proofErr w:type="spellStart"/>
      <w:r>
        <w:rPr>
          <w:rFonts w:ascii="Verdana" w:hAnsi="Verdana" w:cs="Calibri"/>
          <w:color w:val="26282A"/>
        </w:rPr>
        <w:t>Bender</w:t>
      </w:r>
      <w:proofErr w:type="spellEnd"/>
      <w:r>
        <w:rPr>
          <w:rFonts w:ascii="Verdana" w:hAnsi="Verdana" w:cs="Calibri"/>
          <w:color w:val="26282A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6282A"/>
        </w:rPr>
        <w:t>“Mas a característica mais marcante da contribuição Anabatista, seguindo-se inevitavelmente de seu conceito de discipulado, é sua insistência em uma nova igreja de crentes verdadeiramente comprometidos e praticantes, em contradição com o conceito prevalecente da ‘</w:t>
      </w:r>
      <w:proofErr w:type="spellStart"/>
      <w:r>
        <w:rPr>
          <w:rFonts w:ascii="Verdana" w:hAnsi="Verdana" w:cs="Calibri"/>
          <w:color w:val="26282A"/>
        </w:rPr>
        <w:t>Volkskirche</w:t>
      </w:r>
      <w:proofErr w:type="spellEnd"/>
      <w:r>
        <w:rPr>
          <w:rFonts w:ascii="Verdana" w:hAnsi="Verdana" w:cs="Calibri"/>
          <w:color w:val="26282A"/>
        </w:rPr>
        <w:t>’</w:t>
      </w:r>
      <w:r>
        <w:rPr>
          <w:rFonts w:ascii="Verdana" w:hAnsi="Verdana" w:cs="Calibri"/>
          <w:color w:val="26282A"/>
          <w:vertAlign w:val="superscript"/>
        </w:rPr>
        <w:t> </w:t>
      </w:r>
      <w:r>
        <w:rPr>
          <w:rFonts w:ascii="Verdana" w:hAnsi="Verdana" w:cs="Calibri"/>
          <w:color w:val="26282A"/>
        </w:rPr>
        <w:t xml:space="preserve">[igreja do povo], ou igreja inclusiva da Reforma e de períodos subsequentes, mantidos por católicos e protestantes... igualmente, com uma igreja mantida pelo poderoso patrocínio do Estado, e a qual, por nascimento e batismo infantil, toda a população pertencia. </w:t>
      </w:r>
      <w:proofErr w:type="spellStart"/>
      <w:r>
        <w:rPr>
          <w:rFonts w:ascii="Verdana" w:hAnsi="Verdana" w:cs="Calibri"/>
          <w:color w:val="26282A"/>
        </w:rPr>
        <w:t>Grebel</w:t>
      </w:r>
      <w:proofErr w:type="spellEnd"/>
      <w:r>
        <w:rPr>
          <w:rFonts w:ascii="Verdana" w:hAnsi="Verdana" w:cs="Calibri"/>
          <w:color w:val="26282A"/>
        </w:rPr>
        <w:t xml:space="preserve"> e seus associados viram esta questão claramente e ousaram desafiar Zwinglio diretamente sobre ela ... Zwinglio ... deliberadamente rejeitou o clamor dos Irmãos Suíços por uma igreja </w:t>
      </w:r>
      <w:r>
        <w:rPr>
          <w:rFonts w:ascii="Verdana" w:hAnsi="Verdana" w:cs="Calibri"/>
          <w:color w:val="26282A"/>
          <w:vertAlign w:val="subscript"/>
        </w:rPr>
        <w:t>local</w:t>
      </w:r>
      <w:r>
        <w:rPr>
          <w:rFonts w:ascii="Verdana" w:hAnsi="Verdana" w:cs="Calibri"/>
          <w:color w:val="26282A"/>
        </w:rPr>
        <w:t> </w:t>
      </w:r>
      <w:r>
        <w:rPr>
          <w:rFonts w:ascii="Verdana" w:hAnsi="Verdana" w:cs="Calibri"/>
          <w:color w:val="26282A"/>
          <w:vertAlign w:val="subscript"/>
        </w:rPr>
        <w:t>formada</w:t>
      </w:r>
      <w:r>
        <w:rPr>
          <w:rFonts w:ascii="Verdana" w:hAnsi="Verdana" w:cs="Calibri"/>
          <w:color w:val="26282A"/>
        </w:rPr>
        <w:t> por crentes verdadeiros e </w:t>
      </w:r>
      <w:r>
        <w:rPr>
          <w:rFonts w:ascii="Verdana" w:hAnsi="Verdana" w:cs="Calibri"/>
          <w:color w:val="26282A"/>
          <w:vertAlign w:val="subscript"/>
        </w:rPr>
        <w:t xml:space="preserve">então </w:t>
      </w:r>
      <w:proofErr w:type="spellStart"/>
      <w:r>
        <w:rPr>
          <w:rFonts w:ascii="Verdana" w:hAnsi="Verdana" w:cs="Calibri"/>
          <w:color w:val="26282A"/>
          <w:vertAlign w:val="subscript"/>
        </w:rPr>
        <w:t>Zwinglio</w:t>
      </w:r>
      <w:r>
        <w:rPr>
          <w:rFonts w:ascii="Verdana" w:hAnsi="Verdana" w:cs="Calibri"/>
          <w:color w:val="26282A"/>
        </w:rPr>
        <w:t>estabeleceu</w:t>
      </w:r>
      <w:proofErr w:type="spellEnd"/>
      <w:r>
        <w:rPr>
          <w:rFonts w:ascii="Verdana" w:hAnsi="Verdana" w:cs="Calibri"/>
          <w:color w:val="26282A"/>
        </w:rPr>
        <w:t xml:space="preserve"> “uma igreja em que todos os cristãos professos, o nominal mornos e indiferentes, assim como os cristãos realmente vivos e ativos são mantidos juntos, uma igreja à qual toda a população pertence e que não é a igreja de crentes genuínos, mas apenas a instituição humana imperfeita”</w:t>
      </w:r>
      <w:r>
        <w:rPr>
          <w:rFonts w:ascii="Verdana" w:hAnsi="Verdana" w:cs="Calibri"/>
          <w:color w:val="26282A"/>
          <w:vertAlign w:val="superscript"/>
        </w:rPr>
        <w:t>10</w:t>
      </w:r>
      <w:r>
        <w:rPr>
          <w:rFonts w:ascii="Verdana" w:hAnsi="Verdana" w:cs="Calibri"/>
          <w:color w:val="26282A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6282A"/>
        </w:rPr>
        <w:t>Naturalmente, com base nas informações já citadas, os Anabatistas defendiam tenazmente a doutrina da separação da igreja e do Estado. Essa foi uma das principais razões pelas quais eles foram considerados tão heréticos em seus dias. Com a ênfase deles, no entanto, eles abriram o caminho para a introdução da liberdade religiosa em anos posteriores e em outras terras.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> </w:t>
      </w:r>
    </w:p>
    <w:p w:rsidR="003750BD" w:rsidRDefault="003750BD" w:rsidP="003750BD">
      <w:pPr>
        <w:pStyle w:val="Ttulo2"/>
        <w:rPr>
          <w:rFonts w:ascii="Calibri" w:hAnsi="Calibri"/>
          <w:color w:val="26282A"/>
          <w:sz w:val="22"/>
          <w:szCs w:val="22"/>
        </w:rPr>
      </w:pPr>
      <w:r>
        <w:t xml:space="preserve">Apostasia e </w:t>
      </w:r>
      <w:r w:rsidR="00B712CD">
        <w:t>S</w:t>
      </w:r>
      <w:bookmarkStart w:id="0" w:name="_GoBack"/>
      <w:bookmarkEnd w:id="0"/>
      <w:r>
        <w:t>eparatismo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Para nossa consideração, uma das mais importantes crenças dos Anabatistas a respeito da igreja foi a “queda” ou “ruína” da igreja.</w:t>
      </w:r>
      <w:r>
        <w:rPr>
          <w:rFonts w:ascii="Verdana" w:hAnsi="Verdana" w:cs="Calibri"/>
          <w:color w:val="222222"/>
          <w:vertAlign w:val="superscript"/>
        </w:rPr>
        <w:t>11</w:t>
      </w:r>
      <w:r>
        <w:rPr>
          <w:rFonts w:ascii="Verdana" w:hAnsi="Verdana" w:cs="Calibri"/>
          <w:color w:val="222222"/>
        </w:rPr>
        <w:t> Eles acreditavam que a igreja professa havia decaído da verdade - apostatado - e que a restauração das igrejas verdadeiras era necessária. Eles diferiam entre si a quando a essa “queda” </w:t>
      </w:r>
      <w:r>
        <w:rPr>
          <w:rFonts w:ascii="Verdana" w:hAnsi="Verdana" w:cs="Calibri"/>
          <w:color w:val="222222"/>
          <w:vertAlign w:val="subscript"/>
        </w:rPr>
        <w:t>teria</w:t>
      </w:r>
      <w:r>
        <w:rPr>
          <w:rFonts w:ascii="Verdana" w:hAnsi="Verdana" w:cs="Calibri"/>
          <w:color w:val="222222"/>
        </w:rPr>
        <w:t> ocorrido. Alguns sentiam que não</w:t>
      </w:r>
      <w:r>
        <w:rPr>
          <w:rFonts w:ascii="Verdana" w:hAnsi="Verdana" w:cs="Calibri"/>
          <w:color w:val="222222"/>
          <w:vertAlign w:val="subscript"/>
        </w:rPr>
        <w:t> teria</w:t>
      </w:r>
      <w:r>
        <w:rPr>
          <w:rFonts w:ascii="Verdana" w:hAnsi="Verdana" w:cs="Calibri"/>
          <w:color w:val="222222"/>
        </w:rPr>
        <w:t> havido nenhuma igreja verdadeira por séculos.</w:t>
      </w:r>
      <w:r>
        <w:rPr>
          <w:rFonts w:ascii="Verdana" w:hAnsi="Verdana" w:cs="Calibri"/>
          <w:color w:val="222222"/>
          <w:vertAlign w:val="superscript"/>
        </w:rPr>
        <w:t>12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 xml:space="preserve">Muitos pareciam defender que a apostasia se instalou com o reinado de Constantino. </w:t>
      </w:r>
      <w:proofErr w:type="spellStart"/>
      <w:r>
        <w:rPr>
          <w:rFonts w:ascii="Verdana" w:hAnsi="Verdana" w:cs="Calibri"/>
          <w:color w:val="222222"/>
        </w:rPr>
        <w:t>Pilgrim</w:t>
      </w:r>
      <w:proofErr w:type="spellEnd"/>
      <w:r>
        <w:rPr>
          <w:rFonts w:ascii="Verdana" w:hAnsi="Verdana" w:cs="Calibri"/>
          <w:color w:val="222222"/>
        </w:rPr>
        <w:t xml:space="preserve"> </w:t>
      </w:r>
      <w:proofErr w:type="spellStart"/>
      <w:r>
        <w:rPr>
          <w:rFonts w:ascii="Verdana" w:hAnsi="Verdana" w:cs="Calibri"/>
          <w:color w:val="222222"/>
        </w:rPr>
        <w:t>Marpeck</w:t>
      </w:r>
      <w:proofErr w:type="spellEnd"/>
      <w:r>
        <w:rPr>
          <w:rFonts w:ascii="Verdana" w:hAnsi="Verdana" w:cs="Calibri"/>
          <w:color w:val="222222"/>
        </w:rPr>
        <w:t>, um influente líder Anabatista, acreditava que a ruína da igreja começou com a aceitação do batismo infantil.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b/>
          <w:bCs/>
          <w:color w:val="222222"/>
        </w:rPr>
        <w:t>Muitos deles</w:t>
      </w:r>
      <w:r>
        <w:rPr>
          <w:rFonts w:ascii="Verdana" w:hAnsi="Verdana" w:cs="Calibri"/>
          <w:b/>
          <w:bCs/>
          <w:color w:val="222222"/>
          <w:vertAlign w:val="subscript"/>
        </w:rPr>
        <w:t>, senão a maioria, </w:t>
      </w:r>
      <w:r>
        <w:rPr>
          <w:rFonts w:ascii="Verdana" w:hAnsi="Verdana" w:cs="Calibri"/>
          <w:b/>
          <w:bCs/>
          <w:color w:val="222222"/>
        </w:rPr>
        <w:t>concordavam que haviam </w:t>
      </w:r>
      <w:r>
        <w:rPr>
          <w:rFonts w:ascii="Verdana" w:hAnsi="Verdana" w:cs="Calibri"/>
          <w:b/>
          <w:bCs/>
          <w:color w:val="222222"/>
          <w:vertAlign w:val="subscript"/>
        </w:rPr>
        <w:t>existido</w:t>
      </w:r>
      <w:r>
        <w:rPr>
          <w:rFonts w:ascii="Verdana" w:hAnsi="Verdana" w:cs="Calibri"/>
          <w:b/>
          <w:bCs/>
          <w:color w:val="222222"/>
        </w:rPr>
        <w:t> igrejas verdadeiras espalhadas por toda a “Babilônia” (a igreja estatal apóstata) </w:t>
      </w:r>
      <w:r>
        <w:rPr>
          <w:rFonts w:ascii="Verdana" w:hAnsi="Verdana" w:cs="Calibri"/>
          <w:b/>
          <w:bCs/>
          <w:color w:val="222222"/>
          <w:vertAlign w:val="subscript"/>
        </w:rPr>
        <w:t>durante todos estes séculos</w:t>
      </w:r>
      <w:r>
        <w:rPr>
          <w:rFonts w:ascii="Verdana" w:hAnsi="Verdana" w:cs="Calibri"/>
          <w:b/>
          <w:bCs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Eles viam as marcas da queda como sendo: a dependência do Estado, o espírito de condescendência</w:t>
      </w:r>
      <w:r>
        <w:rPr>
          <w:rFonts w:ascii="Verdana" w:hAnsi="Verdana" w:cs="Calibri"/>
          <w:color w:val="222222"/>
          <w:vertAlign w:val="superscript"/>
        </w:rPr>
        <w:t>13</w:t>
      </w:r>
      <w:r>
        <w:rPr>
          <w:rFonts w:ascii="Verdana" w:hAnsi="Verdana" w:cs="Calibri"/>
          <w:color w:val="222222"/>
        </w:rPr>
        <w:t> da época, a aceitação de falsas doutrinas, </w:t>
      </w:r>
      <w:r>
        <w:rPr>
          <w:rFonts w:ascii="Verdana" w:hAnsi="Verdana" w:cs="Calibri"/>
          <w:color w:val="222222"/>
          <w:vertAlign w:val="subscript"/>
        </w:rPr>
        <w:t>tais</w:t>
      </w:r>
      <w:r>
        <w:rPr>
          <w:rFonts w:ascii="Verdana" w:hAnsi="Verdana" w:cs="Calibri"/>
          <w:color w:val="222222"/>
        </w:rPr>
        <w:t> como a Missa e o batismo infantil, e a negligência geral em relação à verdade bíblica.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O que, à luz </w:t>
      </w:r>
      <w:r>
        <w:rPr>
          <w:rFonts w:ascii="Verdana" w:hAnsi="Verdana" w:cs="Calibri"/>
          <w:color w:val="222222"/>
          <w:vertAlign w:val="subscript"/>
        </w:rPr>
        <w:t>desta</w:t>
      </w:r>
      <w:r>
        <w:rPr>
          <w:rFonts w:ascii="Verdana" w:hAnsi="Verdana" w:cs="Calibri"/>
          <w:color w:val="222222"/>
        </w:rPr>
        <w:t> apostasia, era o dever de um cristão obediente? Os anabatistas não ficavam tímidos em responder a essa pergunta. Eles achavam que uma verdadeira igreja Neo Testamentária poderia ser estabelecida “somente depois que uma separação decisiva da Igreja Romana estabelecida fosse realizada”</w:t>
      </w:r>
      <w:r>
        <w:rPr>
          <w:rFonts w:ascii="Verdana" w:hAnsi="Verdana" w:cs="Calibri"/>
          <w:color w:val="222222"/>
          <w:vertAlign w:val="superscript"/>
        </w:rPr>
        <w:t>14</w:t>
      </w:r>
      <w:r>
        <w:rPr>
          <w:rFonts w:ascii="Verdana" w:hAnsi="Verdana" w:cs="Calibri"/>
          <w:color w:val="222222"/>
        </w:rPr>
        <w:t>...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proofErr w:type="spellStart"/>
      <w:r>
        <w:rPr>
          <w:rFonts w:ascii="Verdana" w:hAnsi="Verdana" w:cs="Calibri"/>
          <w:color w:val="222222"/>
        </w:rPr>
        <w:t>Menno</w:t>
      </w:r>
      <w:proofErr w:type="spellEnd"/>
      <w:r>
        <w:rPr>
          <w:rFonts w:ascii="Verdana" w:hAnsi="Verdana" w:cs="Calibri"/>
          <w:color w:val="222222"/>
        </w:rPr>
        <w:t xml:space="preserve"> </w:t>
      </w:r>
      <w:proofErr w:type="spellStart"/>
      <w:r>
        <w:rPr>
          <w:rFonts w:ascii="Verdana" w:hAnsi="Verdana" w:cs="Calibri"/>
          <w:color w:val="222222"/>
        </w:rPr>
        <w:t>Simons</w:t>
      </w:r>
      <w:proofErr w:type="spellEnd"/>
      <w:r>
        <w:rPr>
          <w:rFonts w:ascii="Verdana" w:hAnsi="Verdana" w:cs="Calibri"/>
          <w:color w:val="222222"/>
        </w:rPr>
        <w:t>, em uma seção de um de seus escritos intitulada “O Dever de Fugir de Babilônia”, observou: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“Também ensinamos e admoestamos </w:t>
      </w:r>
      <w:r>
        <w:rPr>
          <w:rFonts w:ascii="Verdana" w:hAnsi="Verdana" w:cs="Calibri"/>
          <w:color w:val="222222"/>
          <w:vertAlign w:val="subscript"/>
        </w:rPr>
        <w:t>por meio</w:t>
      </w:r>
      <w:r>
        <w:rPr>
          <w:rFonts w:ascii="Verdana" w:hAnsi="Verdana" w:cs="Calibri"/>
          <w:color w:val="222222"/>
        </w:rPr>
        <w:t> da Palavra de Deus que todos os filhos genuínos de Deus, nascidos de novo da semente viva </w:t>
      </w:r>
      <w:r>
        <w:rPr>
          <w:rFonts w:ascii="Verdana" w:hAnsi="Verdana" w:cs="Calibri"/>
          <w:color w:val="222222"/>
          <w:vertAlign w:val="subscript"/>
        </w:rPr>
        <w:t>e</w:t>
      </w:r>
      <w:r>
        <w:rPr>
          <w:rFonts w:ascii="Verdana" w:hAnsi="Verdana" w:cs="Calibri"/>
          <w:color w:val="222222"/>
        </w:rPr>
        <w:t> incorruptível da Palavra divina... devem, de acordo com as Escrituras, </w:t>
      </w:r>
      <w:r>
        <w:rPr>
          <w:rFonts w:ascii="Verdana" w:hAnsi="Verdana" w:cs="Calibri"/>
          <w:color w:val="222222"/>
          <w:vertAlign w:val="subscript"/>
        </w:rPr>
        <w:t>se</w:t>
      </w:r>
      <w:r>
        <w:rPr>
          <w:rFonts w:ascii="Verdana" w:hAnsi="Verdana" w:cs="Calibri"/>
          <w:color w:val="222222"/>
        </w:rPr>
        <w:t> afastar </w:t>
      </w:r>
      <w:r>
        <w:rPr>
          <w:rFonts w:ascii="Verdana" w:hAnsi="Verdana" w:cs="Calibri"/>
          <w:color w:val="222222"/>
          <w:vertAlign w:val="subscript"/>
        </w:rPr>
        <w:t>de</w:t>
      </w:r>
      <w:r>
        <w:rPr>
          <w:rFonts w:ascii="Verdana" w:hAnsi="Verdana" w:cs="Calibri"/>
          <w:color w:val="222222"/>
        </w:rPr>
        <w:t> todos os pregadores sedutores e idólatras em relação às </w:t>
      </w:r>
      <w:r>
        <w:rPr>
          <w:rFonts w:ascii="Verdana" w:hAnsi="Verdana" w:cs="Calibri"/>
          <w:color w:val="222222"/>
          <w:vertAlign w:val="subscript"/>
        </w:rPr>
        <w:t>falsas</w:t>
      </w:r>
      <w:r>
        <w:rPr>
          <w:rFonts w:ascii="Verdana" w:hAnsi="Verdana" w:cs="Calibri"/>
          <w:color w:val="222222"/>
        </w:rPr>
        <w:t> doutrinas, sacramentos e adoração. Eles devem evitar todos os que, por qualquer crença, doutrina, seita ou nome, não permanecem na pura doutrina de Cristo...”</w:t>
      </w:r>
      <w:r>
        <w:rPr>
          <w:rFonts w:ascii="Verdana" w:hAnsi="Verdana" w:cs="Calibri"/>
          <w:color w:val="222222"/>
          <w:vertAlign w:val="superscript"/>
        </w:rPr>
        <w:t>15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Certo estudioso do movimento </w:t>
      </w:r>
      <w:r>
        <w:rPr>
          <w:rFonts w:ascii="Verdana" w:hAnsi="Verdana" w:cs="Calibri"/>
          <w:color w:val="222222"/>
          <w:vertAlign w:val="subscript"/>
        </w:rPr>
        <w:t>Anabatista</w:t>
      </w:r>
      <w:r>
        <w:rPr>
          <w:rFonts w:ascii="Verdana" w:hAnsi="Verdana" w:cs="Calibri"/>
          <w:color w:val="222222"/>
        </w:rPr>
        <w:t> observou: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“Ao revisar os registros, o leitor fica impressionado com a consciência aguda dos Anabatistas sobre a separação da igreja ‘decaída’ - em que eles incluíam tanto os Reformadores, assim como a instituição </w:t>
      </w:r>
      <w:r>
        <w:rPr>
          <w:rFonts w:ascii="Verdana" w:hAnsi="Verdana" w:cs="Calibri"/>
          <w:color w:val="222222"/>
          <w:vertAlign w:val="subscript"/>
        </w:rPr>
        <w:t>Católica </w:t>
      </w:r>
      <w:r>
        <w:rPr>
          <w:rFonts w:ascii="Verdana" w:hAnsi="Verdana" w:cs="Calibri"/>
          <w:color w:val="222222"/>
        </w:rPr>
        <w:t>Romana”</w:t>
      </w:r>
      <w:r>
        <w:rPr>
          <w:rFonts w:ascii="Verdana" w:hAnsi="Verdana" w:cs="Calibri"/>
          <w:color w:val="222222"/>
          <w:vertAlign w:val="superscript"/>
        </w:rPr>
        <w:t>16</w:t>
      </w:r>
      <w:r>
        <w:rPr>
          <w:rFonts w:ascii="Verdana" w:hAnsi="Verdana" w:cs="Calibri"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Numerosas declarações de Anabatistas ressaltam suas convicções quanto à separação da apostasia. A Confissão de Schleitheim</w:t>
      </w:r>
      <w:r>
        <w:rPr>
          <w:rFonts w:ascii="Verdana" w:hAnsi="Verdana" w:cs="Calibri"/>
          <w:color w:val="222222"/>
          <w:vertAlign w:val="superscript"/>
        </w:rPr>
        <w:t>17</w:t>
      </w:r>
      <w:r>
        <w:rPr>
          <w:rFonts w:ascii="Verdana" w:hAnsi="Verdana" w:cs="Calibri"/>
          <w:color w:val="222222"/>
        </w:rPr>
        <w:t xml:space="preserve">, elaborada pela Conferência dos Irmãos Suíços, em fevereiro de 1527, foi escrita principalmente por Michael </w:t>
      </w:r>
      <w:proofErr w:type="spellStart"/>
      <w:r>
        <w:rPr>
          <w:rFonts w:ascii="Verdana" w:hAnsi="Verdana" w:cs="Calibri"/>
          <w:color w:val="222222"/>
        </w:rPr>
        <w:t>Sattler</w:t>
      </w:r>
      <w:proofErr w:type="spellEnd"/>
      <w:r>
        <w:rPr>
          <w:rFonts w:ascii="Verdana" w:hAnsi="Verdana" w:cs="Calibri"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“Estamos de acordo [como segue] sobre a separação: uma separação será feita a partir deles e da maldade que o diabo plantou no mundo; desta maneira, simplesmente que não teremos companheirismo com eles na multidão de suas abominações... Pois verdadeiramente todas as criaturas estão em apenas duas classes, boas e más, crentes e incrédulas, trevas e luz... O templo de Deus e os ídolos, Cristo e Belial; e nenhum pode ter parte com o outro.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Para nós, o mandamento do Senhor é claro quando Ele nos conclama a sermos separados do mal e assim Ele será o nosso Deus e nós seremos Seus filhos e filhas.</w:t>
      </w:r>
      <w:r>
        <w:rPr>
          <w:rFonts w:ascii="Verdana" w:hAnsi="Verdana" w:cs="Calibri"/>
          <w:color w:val="222222"/>
          <w:vertAlign w:val="superscript"/>
        </w:rPr>
        <w:t>18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Ele nos adverte ainda para nos retirarmos da Babilônia e do Egito terrestre para que não sejamos participantes da dor e do sofrimento que o Senhor trará sobre eles.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A partir disso, devemos aprender que tudo o que não está unido ao nosso Deus e a Cristo não pode ser outra </w:t>
      </w:r>
      <w:r>
        <w:rPr>
          <w:rFonts w:ascii="Verdana" w:hAnsi="Verdana" w:cs="Calibri"/>
          <w:color w:val="222222"/>
          <w:vertAlign w:val="subscript"/>
        </w:rPr>
        <w:t>coisa mais a não ser</w:t>
      </w:r>
      <w:r>
        <w:rPr>
          <w:rFonts w:ascii="Verdana" w:hAnsi="Verdana" w:cs="Calibri"/>
          <w:color w:val="222222"/>
        </w:rPr>
        <w:t> uma abominação da qual devemos fugir. Por </w:t>
      </w:r>
      <w:r>
        <w:rPr>
          <w:rFonts w:ascii="Verdana" w:hAnsi="Verdana" w:cs="Calibri"/>
          <w:color w:val="222222"/>
          <w:vertAlign w:val="subscript"/>
        </w:rPr>
        <w:t>todas estas coisas</w:t>
      </w:r>
      <w:r>
        <w:rPr>
          <w:rFonts w:ascii="Verdana" w:hAnsi="Verdana" w:cs="Calibri"/>
          <w:color w:val="222222"/>
        </w:rPr>
        <w:t> </w:t>
      </w:r>
      <w:r>
        <w:rPr>
          <w:rFonts w:ascii="Verdana" w:hAnsi="Verdana" w:cs="Calibri"/>
          <w:color w:val="222222"/>
          <w:vertAlign w:val="subscript"/>
        </w:rPr>
        <w:t>abomináveis</w:t>
      </w:r>
      <w:r>
        <w:rPr>
          <w:rFonts w:ascii="Verdana" w:hAnsi="Verdana" w:cs="Calibri"/>
          <w:color w:val="222222"/>
        </w:rPr>
        <w:t> entendem-se todas as obras dos papas e antipapas e </w:t>
      </w:r>
      <w:r>
        <w:rPr>
          <w:rFonts w:ascii="Verdana" w:hAnsi="Verdana" w:cs="Calibri"/>
          <w:color w:val="222222"/>
          <w:vertAlign w:val="subscript"/>
        </w:rPr>
        <w:t>invenções humanas e sacramentos</w:t>
      </w:r>
      <w:r>
        <w:rPr>
          <w:rFonts w:ascii="Verdana" w:hAnsi="Verdana" w:cs="Calibri"/>
          <w:color w:val="222222"/>
        </w:rPr>
        <w:t> da igreja </w:t>
      </w:r>
      <w:r>
        <w:rPr>
          <w:rFonts w:ascii="Verdana" w:hAnsi="Verdana" w:cs="Calibri"/>
          <w:color w:val="222222"/>
          <w:vertAlign w:val="subscript"/>
        </w:rPr>
        <w:t>Romana</w:t>
      </w:r>
      <w:r>
        <w:rPr>
          <w:rFonts w:ascii="Verdana" w:hAnsi="Verdana" w:cs="Calibri"/>
          <w:color w:val="222222"/>
        </w:rPr>
        <w:t>, reuniões e frequência à igreja </w:t>
      </w:r>
      <w:r>
        <w:rPr>
          <w:rFonts w:ascii="Verdana" w:hAnsi="Verdana" w:cs="Calibri"/>
          <w:color w:val="222222"/>
          <w:vertAlign w:val="subscript"/>
        </w:rPr>
        <w:t>Romana</w:t>
      </w:r>
      <w:r>
        <w:rPr>
          <w:rFonts w:ascii="Verdana" w:hAnsi="Verdana" w:cs="Calibri"/>
          <w:color w:val="222222"/>
        </w:rPr>
        <w:t>... De todas essas coisas devemos ser separados e não ter parte com eles, pois eles não são nada além de uma abominação...”</w:t>
      </w:r>
      <w:r>
        <w:rPr>
          <w:rFonts w:ascii="Verdana" w:hAnsi="Verdana" w:cs="Calibri"/>
          <w:color w:val="222222"/>
          <w:vertAlign w:val="superscript"/>
        </w:rPr>
        <w:t>19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Os Anabatistas acreditavam tanto na separação pessoal da impiedade quanto na </w:t>
      </w:r>
      <w:r>
        <w:rPr>
          <w:rFonts w:ascii="Verdana" w:hAnsi="Verdana" w:cs="Calibri"/>
          <w:color w:val="222222"/>
          <w:vertAlign w:val="subscript"/>
        </w:rPr>
        <w:t>separação</w:t>
      </w:r>
      <w:r>
        <w:rPr>
          <w:rFonts w:ascii="Verdana" w:hAnsi="Verdana" w:cs="Calibri"/>
          <w:color w:val="222222"/>
        </w:rPr>
        <w:t> da apostasia. Às vezes, os dois conceitos </w:t>
      </w:r>
      <w:r>
        <w:rPr>
          <w:rFonts w:ascii="Verdana" w:hAnsi="Verdana" w:cs="Calibri"/>
          <w:color w:val="222222"/>
          <w:vertAlign w:val="subscript"/>
        </w:rPr>
        <w:t>eram </w:t>
      </w:r>
      <w:r>
        <w:rPr>
          <w:rFonts w:ascii="Verdana" w:hAnsi="Verdana" w:cs="Calibri"/>
          <w:color w:val="222222"/>
        </w:rPr>
        <w:t>combinados em seu uso do termo “separação”. Dietrich Philips, ao discutir as várias marcas (ordenanças) de uma igreja verdadeira, escreveu.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“A quarta ordem é a separação evangélica, sem a qual a congregação de Deus não pode permanecer ou ser mantida”</w:t>
      </w:r>
      <w:r>
        <w:rPr>
          <w:rFonts w:ascii="Verdana" w:hAnsi="Verdana" w:cs="Calibri"/>
          <w:color w:val="222222"/>
          <w:vertAlign w:val="superscript"/>
        </w:rPr>
        <w:t>20</w:t>
      </w:r>
      <w:r>
        <w:rPr>
          <w:rFonts w:ascii="Verdana" w:hAnsi="Verdana" w:cs="Calibri"/>
          <w:color w:val="222222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 xml:space="preserve">Por suas posições separatistas, eles eram severamente criticados pelos líderes da Reforma. Conrad </w:t>
      </w:r>
      <w:proofErr w:type="spellStart"/>
      <w:r>
        <w:rPr>
          <w:rFonts w:ascii="Verdana" w:hAnsi="Verdana" w:cs="Calibri"/>
          <w:color w:val="222222"/>
        </w:rPr>
        <w:t>Grebel</w:t>
      </w:r>
      <w:proofErr w:type="spellEnd"/>
      <w:r>
        <w:rPr>
          <w:rFonts w:ascii="Verdana" w:hAnsi="Verdana" w:cs="Calibri"/>
          <w:color w:val="222222"/>
        </w:rPr>
        <w:t>, um dos líderes Anabatistas suíços, escreveu em uma carta em 1524: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“Cristo deve sofrer mais em seus membros... </w:t>
      </w:r>
      <w:r>
        <w:rPr>
          <w:rFonts w:ascii="Verdana" w:hAnsi="Verdana" w:cs="Calibri"/>
          <w:color w:val="222222"/>
          <w:vertAlign w:val="subscript"/>
        </w:rPr>
        <w:t>Os líderes reformadores </w:t>
      </w:r>
      <w:r>
        <w:rPr>
          <w:rFonts w:ascii="Verdana" w:hAnsi="Verdana" w:cs="Calibri"/>
          <w:color w:val="222222"/>
        </w:rPr>
        <w:t>...estão tão furiosos e enfurecidos contra nós que eles nos atacam do púlpito, chamando-nos de meninos e </w:t>
      </w:r>
      <w:r>
        <w:rPr>
          <w:rFonts w:ascii="Verdana" w:hAnsi="Verdana" w:cs="Calibri"/>
          <w:color w:val="222222"/>
          <w:vertAlign w:val="subscript"/>
        </w:rPr>
        <w:t>anjos de</w:t>
      </w:r>
      <w:r>
        <w:rPr>
          <w:rFonts w:ascii="Verdana" w:hAnsi="Verdana" w:cs="Calibri"/>
          <w:color w:val="222222"/>
        </w:rPr>
        <w:t> Satanás [disfarçados de] anjo de luz ... Não aja, ensine ou construa qualquer coisa de acordo com as noções humanas, suas ou de outras, e se isso </w:t>
      </w:r>
      <w:r>
        <w:rPr>
          <w:rFonts w:ascii="Verdana" w:hAnsi="Verdana" w:cs="Calibri"/>
          <w:color w:val="222222"/>
          <w:vertAlign w:val="subscript"/>
        </w:rPr>
        <w:t>já</w:t>
      </w:r>
      <w:r>
        <w:rPr>
          <w:rFonts w:ascii="Verdana" w:hAnsi="Verdana" w:cs="Calibri"/>
          <w:color w:val="222222"/>
        </w:rPr>
        <w:t> está estabelecido, </w:t>
      </w:r>
      <w:r>
        <w:rPr>
          <w:rFonts w:ascii="Verdana" w:hAnsi="Verdana" w:cs="Calibri"/>
          <w:color w:val="222222"/>
          <w:vertAlign w:val="subscript"/>
        </w:rPr>
        <w:t>que </w:t>
      </w:r>
      <w:r>
        <w:rPr>
          <w:rFonts w:ascii="Verdana" w:hAnsi="Verdana" w:cs="Calibri"/>
          <w:color w:val="222222"/>
        </w:rPr>
        <w:t>seja abolido. Exponha e ensine a Palavra e o culto a Deus </w:t>
      </w:r>
      <w:r>
        <w:rPr>
          <w:rFonts w:ascii="Verdana" w:hAnsi="Verdana" w:cs="Calibri"/>
          <w:color w:val="222222"/>
          <w:vertAlign w:val="subscript"/>
        </w:rPr>
        <w:t>de forma </w:t>
      </w:r>
      <w:r>
        <w:rPr>
          <w:rFonts w:ascii="Verdana" w:hAnsi="Verdana" w:cs="Calibri"/>
          <w:color w:val="222222"/>
        </w:rPr>
        <w:t>clara”.</w:t>
      </w:r>
      <w:r>
        <w:rPr>
          <w:rFonts w:ascii="Verdana" w:hAnsi="Verdana" w:cs="Calibri"/>
          <w:color w:val="222222"/>
          <w:vertAlign w:val="superscript"/>
        </w:rPr>
        <w:t>21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b/>
          <w:bCs/>
          <w:color w:val="222222"/>
        </w:rPr>
        <w:t> </w:t>
      </w:r>
    </w:p>
    <w:p w:rsidR="003750BD" w:rsidRDefault="003750BD" w:rsidP="003750BD">
      <w:pPr>
        <w:pStyle w:val="Ttulo2"/>
        <w:rPr>
          <w:rFonts w:ascii="Calibri" w:hAnsi="Calibri"/>
          <w:color w:val="26282A"/>
          <w:sz w:val="22"/>
          <w:szCs w:val="22"/>
        </w:rPr>
      </w:pPr>
      <w:r>
        <w:t>Conclusão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b/>
          <w:bCs/>
          <w:color w:val="2222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330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22222"/>
        </w:rPr>
        <w:t>Os Anabatistas deram uma grande contribuição ao contínuo testemunho separatista. Reconhecemos suas fraquezas (não tentamos enumerar todos elas aqui). Nós também saudamos sua força </w:t>
      </w:r>
      <w:r>
        <w:rPr>
          <w:rFonts w:ascii="Verdana" w:hAnsi="Verdana" w:cs="Calibri"/>
          <w:color w:val="222222"/>
          <w:vertAlign w:val="subscript"/>
        </w:rPr>
        <w:t>e robustez</w:t>
      </w:r>
      <w:r>
        <w:rPr>
          <w:rFonts w:ascii="Verdana" w:hAnsi="Verdana" w:cs="Calibri"/>
          <w:color w:val="222222"/>
        </w:rPr>
        <w:t>. Em geral, quando sua doutrina da igreja</w:t>
      </w:r>
      <w:r>
        <w:rPr>
          <w:rFonts w:ascii="Verdana" w:hAnsi="Verdana" w:cs="Calibri"/>
          <w:color w:val="222222"/>
          <w:vertAlign w:val="subscript"/>
        </w:rPr>
        <w:t> local </w:t>
      </w:r>
      <w:r>
        <w:rPr>
          <w:rFonts w:ascii="Verdana" w:hAnsi="Verdana" w:cs="Calibri"/>
          <w:color w:val="222222"/>
        </w:rPr>
        <w:t>era impopular, eles não se esquivavam de declará-la e praticá-la. Do seu exemplo corajoso, os separatistas modernos devem obter encorajamento.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22222"/>
          <w:sz w:val="16"/>
          <w:szCs w:val="16"/>
        </w:rPr>
        <w:t xml:space="preserve">Tradução e adaptação Pr </w:t>
      </w:r>
      <w:r w:rsidRPr="003750BD">
        <w:rPr>
          <w:rFonts w:ascii="Old serif" w:hAnsi="Old serif" w:cs="Calibri"/>
          <w:b/>
          <w:color w:val="222222"/>
          <w:sz w:val="20"/>
          <w:szCs w:val="16"/>
        </w:rPr>
        <w:t>Miguel Maciel</w:t>
      </w:r>
      <w:r>
        <w:rPr>
          <w:rFonts w:ascii="Old serif" w:hAnsi="Old serif" w:cs="Calibri"/>
          <w:color w:val="222222"/>
          <w:sz w:val="16"/>
          <w:szCs w:val="16"/>
        </w:rPr>
        <w:t>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22222"/>
          <w:sz w:val="16"/>
          <w:szCs w:val="16"/>
        </w:rPr>
        <w:t xml:space="preserve">Revisão 01. </w:t>
      </w:r>
      <w:proofErr w:type="gramStart"/>
      <w:r>
        <w:rPr>
          <w:rFonts w:ascii="Old serif" w:hAnsi="Old serif" w:cs="Calibri"/>
          <w:color w:val="222222"/>
          <w:sz w:val="16"/>
          <w:szCs w:val="16"/>
        </w:rPr>
        <w:t>Agosto</w:t>
      </w:r>
      <w:proofErr w:type="gramEnd"/>
      <w:r>
        <w:rPr>
          <w:rFonts w:ascii="Old serif" w:hAnsi="Old serif" w:cs="Calibri"/>
          <w:color w:val="222222"/>
          <w:sz w:val="16"/>
          <w:szCs w:val="16"/>
        </w:rPr>
        <w:t xml:space="preserve"> 2018.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22222"/>
          <w:sz w:val="16"/>
          <w:szCs w:val="16"/>
        </w:rPr>
        <w:t>Algumas correções foram feitas nas notas, pois no envio do texto em partes estavam fora de continuidade numérica.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 w:rsidRPr="003750BD">
        <w:rPr>
          <w:rFonts w:ascii="New serif" w:hAnsi="New serif" w:cs="Calibri"/>
          <w:b/>
          <w:bCs/>
          <w:i/>
          <w:iCs/>
          <w:color w:val="222222"/>
          <w:lang w:val="en-CA"/>
        </w:rPr>
        <w:t>__</w:t>
      </w:r>
      <w:r>
        <w:rPr>
          <w:rFonts w:ascii="New serif" w:hAnsi="New serif" w:cs="Calibri"/>
          <w:b/>
          <w:bCs/>
          <w:i/>
          <w:iCs/>
          <w:color w:val="222222"/>
          <w:lang w:val="en-US"/>
        </w:rPr>
        <w:t>______________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>Pickering, Ernest D. 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 xml:space="preserve">Biblical Separation: The Struggle </w:t>
      </w:r>
      <w:proofErr w:type="gramStart"/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For</w:t>
      </w:r>
      <w:proofErr w:type="gramEnd"/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 xml:space="preserve"> A Pure Church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>. (Regular Baptist Press. Schaumburg, Illinois. 1979).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2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Berkhof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, Louis.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 History of Christian Doctrine.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(Grand Rapids: Wm. B. Eerdmans Publishing Co., 1959). p. 243.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3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Ibid., p. 244.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4 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E. H.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Klotsche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>, 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The History of Christian Doctrine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(Burlington, IA: The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Luteran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Literary Board, 1945)., p 182.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5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Ibid., p. 187.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6 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Erland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Waltner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>, “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The Anabaptist Conception of The Church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”, The Mennonite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Quartely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Review, XXV (January 1951</w:t>
      </w:r>
      <w:proofErr w:type="gramStart"/>
      <w:r>
        <w:rPr>
          <w:rFonts w:ascii="Calibri" w:hAnsi="Calibri" w:cs="Calibri"/>
          <w:color w:val="222222"/>
          <w:sz w:val="18"/>
          <w:szCs w:val="18"/>
          <w:lang w:val="en-US"/>
        </w:rPr>
        <w:t>)..</w:t>
      </w:r>
      <w:proofErr w:type="gramEnd"/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7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 Claus Peter 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Clasen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, 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Anabaptism: A Social History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, 1525-1618 (Ithaca, NY: Cornell University Press, 1972)., p. 211.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8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 John L. Ruth, Conrad 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Grebel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: Son of Zurich (Scottdale, PA: Herald Press, 1975)., p.128.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9 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Durnbaugh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, 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The Believers’ Church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, p. 73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10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 Harold S. Bender, Conrad 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Grebel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: Sob of Zurich (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Scottadale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, PA: Herald Press, 1971), p. 211.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11 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Para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uma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boa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discussão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sobre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este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assunto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, Pickering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recomenda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>: Frank Wray, “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The Fall of The Church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”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em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“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History in the Eyes of The Sixteen Century Anabaptist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>s” (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dissertação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de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doutorado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>, Yale University, 1953)., pp. 167-206.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12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 Segundo Pickering, 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essa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 era a 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posição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 de Frank Wray e </w:t>
      </w:r>
      <w:proofErr w:type="spellStart"/>
      <w:proofErr w:type="gramStart"/>
      <w:r>
        <w:rPr>
          <w:rFonts w:ascii="Calibri" w:hAnsi="Calibri" w:cs="Calibri"/>
          <w:color w:val="222222"/>
          <w:sz w:val="20"/>
          <w:szCs w:val="20"/>
          <w:lang w:val="en-US"/>
        </w:rPr>
        <w:t>recomenda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  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Sebatian</w:t>
      </w:r>
      <w:proofErr w:type="spellEnd"/>
      <w:proofErr w:type="gramEnd"/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 Franke, “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A Letter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 xml:space="preserve">of John </w:t>
      </w:r>
      <w:proofErr w:type="spellStart"/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Campanus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”, Spiritual And Anabaptist Writers, ed. </w:t>
      </w:r>
      <w:r w:rsidRPr="003750BD">
        <w:rPr>
          <w:rFonts w:ascii="Calibri" w:hAnsi="Calibri" w:cs="Calibri"/>
          <w:color w:val="222222"/>
          <w:sz w:val="20"/>
          <w:szCs w:val="20"/>
        </w:rPr>
        <w:t xml:space="preserve">George H. </w:t>
      </w:r>
      <w:proofErr w:type="spellStart"/>
      <w:r w:rsidRPr="003750BD">
        <w:rPr>
          <w:rFonts w:ascii="Calibri" w:hAnsi="Calibri" w:cs="Calibri"/>
          <w:color w:val="222222"/>
          <w:sz w:val="20"/>
          <w:szCs w:val="20"/>
        </w:rPr>
        <w:t>Williamns</w:t>
      </w:r>
      <w:proofErr w:type="spellEnd"/>
      <w:r w:rsidRPr="003750BD">
        <w:rPr>
          <w:rFonts w:ascii="Calibri" w:hAnsi="Calibri" w:cs="Calibri"/>
          <w:color w:val="222222"/>
          <w:sz w:val="20"/>
          <w:szCs w:val="20"/>
        </w:rPr>
        <w:t xml:space="preserve"> (Philadelphia: The Westminster Press, 1957)., p. 149.</w:t>
      </w:r>
    </w:p>
    <w:p w:rsid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</w:rPr>
      </w:pPr>
      <w:r w:rsidRPr="003750BD">
        <w:rPr>
          <w:rFonts w:ascii="Calibri" w:hAnsi="Calibri" w:cs="Calibri"/>
          <w:color w:val="222222"/>
          <w:sz w:val="20"/>
          <w:szCs w:val="20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</w:rPr>
        <w:t>13</w:t>
      </w:r>
      <w:r>
        <w:rPr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b/>
          <w:bCs/>
          <w:color w:val="222222"/>
          <w:sz w:val="20"/>
          <w:szCs w:val="20"/>
          <w:u w:val="single"/>
        </w:rPr>
        <w:t>Nota do tradutor (não de Pickering)</w:t>
      </w:r>
      <w:r>
        <w:rPr>
          <w:rFonts w:ascii="Calibri" w:hAnsi="Calibri" w:cs="Calibri"/>
          <w:color w:val="222222"/>
          <w:sz w:val="20"/>
          <w:szCs w:val="20"/>
        </w:rPr>
        <w:t>: Para um estudo muito sério e excelente sobre a tolerância romanista às próprias heresias, a permissividade vergonhosa da época e a perseguição aos verdadeiros crentes, recomendo “</w:t>
      </w:r>
      <w:r>
        <w:rPr>
          <w:rFonts w:ascii="Calibri" w:hAnsi="Calibri" w:cs="Calibri"/>
          <w:i/>
          <w:iCs/>
          <w:color w:val="222222"/>
          <w:sz w:val="20"/>
          <w:szCs w:val="20"/>
        </w:rPr>
        <w:t>A Mulher Montada na Besta</w:t>
      </w:r>
      <w:r>
        <w:rPr>
          <w:rFonts w:ascii="Calibri" w:hAnsi="Calibri" w:cs="Calibri"/>
          <w:color w:val="222222"/>
          <w:sz w:val="20"/>
          <w:szCs w:val="20"/>
        </w:rPr>
        <w:t xml:space="preserve">” - Volume 1, de Dave Hunt. </w:t>
      </w:r>
      <w:r w:rsidRPr="003750BD">
        <w:rPr>
          <w:rFonts w:ascii="Calibri" w:hAnsi="Calibri" w:cs="Calibri"/>
          <w:color w:val="222222"/>
          <w:sz w:val="20"/>
          <w:szCs w:val="20"/>
          <w:lang w:val="en-CA"/>
        </w:rPr>
        <w:t xml:space="preserve">Actual </w:t>
      </w:r>
      <w:proofErr w:type="spellStart"/>
      <w:r w:rsidRPr="003750BD">
        <w:rPr>
          <w:rFonts w:ascii="Calibri" w:hAnsi="Calibri" w:cs="Calibri"/>
          <w:color w:val="222222"/>
          <w:sz w:val="20"/>
          <w:szCs w:val="20"/>
          <w:lang w:val="en-CA"/>
        </w:rPr>
        <w:t>Edições</w:t>
      </w:r>
      <w:proofErr w:type="spellEnd"/>
      <w:r w:rsidRPr="003750BD">
        <w:rPr>
          <w:rFonts w:ascii="Calibri" w:hAnsi="Calibri" w:cs="Calibri"/>
          <w:color w:val="222222"/>
          <w:sz w:val="20"/>
          <w:szCs w:val="20"/>
          <w:lang w:val="en-CA"/>
        </w:rPr>
        <w:t>. 2001.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26282A"/>
          <w:sz w:val="22"/>
          <w:szCs w:val="22"/>
          <w:lang w:val="en-CA"/>
        </w:rPr>
      </w:pPr>
      <w:r w:rsidRPr="003750BD">
        <w:rPr>
          <w:rFonts w:ascii="Calibri" w:hAnsi="Calibri" w:cs="Calibri"/>
          <w:i/>
          <w:iCs/>
          <w:color w:val="222222"/>
          <w:sz w:val="20"/>
          <w:szCs w:val="20"/>
          <w:lang w:val="en-CA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14 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John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Oyer</w:t>
      </w:r>
      <w:proofErr w:type="spellEnd"/>
      <w:proofErr w:type="gramStart"/>
      <w:r>
        <w:rPr>
          <w:rFonts w:ascii="Calibri" w:hAnsi="Calibri" w:cs="Calibri"/>
          <w:color w:val="222222"/>
          <w:sz w:val="18"/>
          <w:szCs w:val="18"/>
          <w:lang w:val="en-US"/>
        </w:rPr>
        <w:t>, ”The</w:t>
      </w:r>
      <w:proofErr w:type="gram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Reformers Oppose the Anabaptist Theology”, 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The Recovery of The Anabaptist Vision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>., p. 206.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15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Menno Simons, 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The Complete Writing of Menno Simons, 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realiz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 xml:space="preserve">. Leonard 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Verduin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, ed. John C. Wenger (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Sctottdale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, PA: Herald Press, 1956)., pp. 158, 159.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16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  <w:proofErr w:type="spellStart"/>
      <w:r>
        <w:rPr>
          <w:rFonts w:ascii="Calibri" w:hAnsi="Calibri" w:cs="Calibri"/>
          <w:color w:val="222222"/>
          <w:sz w:val="20"/>
          <w:szCs w:val="20"/>
          <w:lang w:val="en-US"/>
        </w:rPr>
        <w:t>Littell</w:t>
      </w:r>
      <w:proofErr w:type="spellEnd"/>
      <w:r>
        <w:rPr>
          <w:rFonts w:ascii="Calibri" w:hAnsi="Calibri" w:cs="Calibri"/>
          <w:color w:val="222222"/>
          <w:sz w:val="20"/>
          <w:szCs w:val="20"/>
          <w:lang w:val="en-US"/>
        </w:rPr>
        <w:t>, 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 xml:space="preserve">The </w:t>
      </w:r>
      <w:proofErr w:type="spellStart"/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Anabatist</w:t>
      </w:r>
      <w:proofErr w:type="spellEnd"/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 xml:space="preserve"> View of The Church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., p. 79.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17 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Suíça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>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18 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Ver: 2 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Coríntios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6:14 </w:t>
      </w:r>
      <w:proofErr w:type="gramStart"/>
      <w:r>
        <w:rPr>
          <w:rFonts w:ascii="Calibri" w:hAnsi="Calibri" w:cs="Calibri"/>
          <w:color w:val="222222"/>
          <w:sz w:val="18"/>
          <w:szCs w:val="18"/>
          <w:lang w:val="en-US"/>
        </w:rPr>
        <w:t>a</w:t>
      </w:r>
      <w:proofErr w:type="gramEnd"/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 18.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19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John C. Wenger (ed.), “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 xml:space="preserve">The </w:t>
      </w:r>
      <w:proofErr w:type="spellStart"/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Schleitheim</w:t>
      </w:r>
      <w:proofErr w:type="spellEnd"/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 xml:space="preserve"> Confession of Faith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”, Appendix III, </w:t>
      </w:r>
      <w:r>
        <w:rPr>
          <w:rFonts w:ascii="Calibri" w:hAnsi="Calibri" w:cs="Calibri"/>
          <w:i/>
          <w:iCs/>
          <w:color w:val="222222"/>
          <w:sz w:val="20"/>
          <w:szCs w:val="20"/>
          <w:lang w:val="en-US"/>
        </w:rPr>
        <w:t>Glimpses of Mennonite History and Doctrine</w:t>
      </w:r>
      <w:r>
        <w:rPr>
          <w:rFonts w:ascii="Calibri" w:hAnsi="Calibri" w:cs="Calibri"/>
          <w:color w:val="222222"/>
          <w:sz w:val="20"/>
          <w:szCs w:val="20"/>
          <w:lang w:val="en-US"/>
        </w:rPr>
        <w:t> (Scottdale, PA: Herald Press, 1940), p. 209.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20 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>Dietrich Philips, “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The Church of God”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 xml:space="preserve">, Spiritual and Anabaptist Writers, p. </w:t>
      </w:r>
      <w:proofErr w:type="gramStart"/>
      <w:r>
        <w:rPr>
          <w:rFonts w:ascii="Calibri" w:hAnsi="Calibri" w:cs="Calibri"/>
          <w:color w:val="222222"/>
          <w:sz w:val="18"/>
          <w:szCs w:val="18"/>
          <w:lang w:val="en-US"/>
        </w:rPr>
        <w:t>246 .</w:t>
      </w:r>
      <w:proofErr w:type="gramEnd"/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 </w:t>
      </w:r>
    </w:p>
    <w:p w:rsidR="003750BD" w:rsidRPr="003750BD" w:rsidRDefault="003750BD" w:rsidP="003750BD">
      <w:pPr>
        <w:pStyle w:val="yiv7231876457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2"/>
          <w:szCs w:val="22"/>
          <w:lang w:val="en-CA"/>
        </w:rPr>
      </w:pPr>
      <w:r>
        <w:rPr>
          <w:rFonts w:ascii="Calibri" w:hAnsi="Calibri" w:cs="Calibri"/>
          <w:color w:val="222222"/>
          <w:sz w:val="20"/>
          <w:szCs w:val="20"/>
          <w:vertAlign w:val="superscript"/>
          <w:lang w:val="en-US"/>
        </w:rPr>
        <w:t>21 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>John C. Wenger (</w:t>
      </w:r>
      <w:proofErr w:type="spellStart"/>
      <w:r>
        <w:rPr>
          <w:rFonts w:ascii="Calibri" w:hAnsi="Calibri" w:cs="Calibri"/>
          <w:color w:val="222222"/>
          <w:sz w:val="18"/>
          <w:szCs w:val="18"/>
          <w:lang w:val="en-US"/>
        </w:rPr>
        <w:t>realiz</w:t>
      </w:r>
      <w:proofErr w:type="spellEnd"/>
      <w:r>
        <w:rPr>
          <w:rFonts w:ascii="Calibri" w:hAnsi="Calibri" w:cs="Calibri"/>
          <w:color w:val="222222"/>
          <w:sz w:val="18"/>
          <w:szCs w:val="18"/>
          <w:lang w:val="en-US"/>
        </w:rPr>
        <w:t>.), </w:t>
      </w:r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 xml:space="preserve">Conrad </w:t>
      </w:r>
      <w:proofErr w:type="spellStart"/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>Grebel’s</w:t>
      </w:r>
      <w:proofErr w:type="spellEnd"/>
      <w:r>
        <w:rPr>
          <w:rFonts w:ascii="Calibri" w:hAnsi="Calibri" w:cs="Calibri"/>
          <w:i/>
          <w:iCs/>
          <w:color w:val="222222"/>
          <w:sz w:val="18"/>
          <w:szCs w:val="18"/>
          <w:lang w:val="en-US"/>
        </w:rPr>
        <w:t xml:space="preserve"> Programmatic Letters of 1524</w:t>
      </w:r>
      <w:r>
        <w:rPr>
          <w:rFonts w:ascii="Calibri" w:hAnsi="Calibri" w:cs="Calibri"/>
          <w:color w:val="222222"/>
          <w:sz w:val="18"/>
          <w:szCs w:val="18"/>
          <w:lang w:val="en-US"/>
        </w:rPr>
        <w:t> (Scottdale, PA: Herald Press, 1970), p. 41.</w:t>
      </w:r>
    </w:p>
    <w:p w:rsidR="003750BD" w:rsidRPr="003750BD" w:rsidRDefault="003750BD">
      <w:pPr>
        <w:rPr>
          <w:lang w:val="en-CA"/>
        </w:rPr>
      </w:pPr>
    </w:p>
    <w:sectPr w:rsidR="003750BD" w:rsidRPr="00375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BD"/>
    <w:rsid w:val="00093AE0"/>
    <w:rsid w:val="003750BD"/>
    <w:rsid w:val="00B712CD"/>
    <w:rsid w:val="00D3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2330"/>
  <w15:chartTrackingRefBased/>
  <w15:docId w15:val="{A37D64F6-9AF8-41E3-8942-71B70452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50BD"/>
    <w:pPr>
      <w:keepNext/>
      <w:keepLines/>
      <w:spacing w:before="240" w:after="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50BD"/>
    <w:pPr>
      <w:keepNext/>
      <w:keepLines/>
      <w:spacing w:before="40" w:after="0"/>
      <w:outlineLvl w:val="1"/>
    </w:pPr>
    <w:rPr>
      <w:rFonts w:ascii="Wide Latin" w:eastAsiaTheme="majorEastAsia" w:hAnsi="Wide Latin" w:cstheme="majorBidi"/>
      <w:b/>
      <w:color w:val="2F5496" w:themeColor="accent1" w:themeShade="BF"/>
      <w:sz w:val="28"/>
      <w:szCs w:val="26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50BD"/>
    <w:pPr>
      <w:keepNext/>
      <w:keepLines/>
      <w:spacing w:before="40" w:after="0"/>
      <w:outlineLvl w:val="2"/>
    </w:pPr>
    <w:rPr>
      <w:rFonts w:ascii="Wide Latin" w:eastAsiaTheme="majorEastAsia" w:hAnsi="Wide Latin" w:cstheme="majorBidi"/>
      <w:color w:val="C45911" w:themeColor="accent2" w:themeShade="BF"/>
      <w:sz w:val="24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231876457msonormal">
    <w:name w:val="yiv7231876457msonormal"/>
    <w:basedOn w:val="Normal"/>
    <w:rsid w:val="0037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50BD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750BD"/>
    <w:rPr>
      <w:rFonts w:ascii="Wide Latin" w:eastAsiaTheme="majorEastAsia" w:hAnsi="Wide Latin" w:cstheme="majorBidi"/>
      <w:b/>
      <w:color w:val="2F5496" w:themeColor="accent1" w:themeShade="BF"/>
      <w:sz w:val="28"/>
      <w:szCs w:val="26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750BD"/>
    <w:rPr>
      <w:rFonts w:ascii="Wide Latin" w:eastAsiaTheme="majorEastAsia" w:hAnsi="Wide Latin" w:cstheme="majorBidi"/>
      <w:color w:val="C45911" w:themeColor="accent2" w:themeShade="B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2345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2018-08-22T19:24:00Z</dcterms:created>
  <dcterms:modified xsi:type="dcterms:W3CDTF">2018-08-22T19:37:00Z</dcterms:modified>
</cp:coreProperties>
</file>